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ОТЧЕТ ЭМИТЕНТА ЭМИССИОННЫХ ЦЕННЫХ БУМАГ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pStyle w:val="867"/>
        <w:rPr>
          <w:iCs/>
          <w:sz w:val="24"/>
          <w:szCs w:val="24"/>
          <w:u w:val="single"/>
        </w:rPr>
      </w:pPr>
      <w:r>
        <w:rPr>
          <w:iCs/>
          <w:sz w:val="24"/>
          <w:szCs w:val="24"/>
          <w:u w:val="single"/>
        </w:rPr>
      </w:r>
      <w:r>
        <w:rPr>
          <w:iCs/>
          <w:sz w:val="24"/>
          <w:szCs w:val="24"/>
          <w:u w:val="single"/>
        </w:rPr>
      </w:r>
      <w:r>
        <w:rPr>
          <w:iCs/>
          <w:sz w:val="24"/>
          <w:szCs w:val="24"/>
          <w:u w:val="single"/>
        </w:rPr>
      </w:r>
    </w:p>
    <w:p>
      <w:pPr>
        <w:pStyle w:val="867"/>
        <w:rPr>
          <w:iCs/>
          <w:sz w:val="24"/>
          <w:szCs w:val="24"/>
          <w:u w:val="single"/>
        </w:rPr>
      </w:pPr>
      <w:r>
        <w:rPr>
          <w:iCs/>
          <w:sz w:val="24"/>
          <w:szCs w:val="24"/>
          <w:u w:val="single"/>
        </w:rPr>
      </w:r>
      <w:r>
        <w:rPr>
          <w:iCs/>
          <w:sz w:val="24"/>
          <w:szCs w:val="24"/>
          <w:u w:val="single"/>
        </w:rPr>
      </w:r>
      <w:r>
        <w:rPr>
          <w:iCs/>
          <w:sz w:val="24"/>
          <w:szCs w:val="24"/>
          <w:u w:val="single"/>
        </w:rPr>
      </w:r>
    </w:p>
    <w:p>
      <w:pPr>
        <w:pStyle w:val="867"/>
        <w:jc w:val="center"/>
        <w:rPr>
          <w:sz w:val="24"/>
          <w:szCs w:val="24"/>
        </w:rPr>
      </w:pPr>
      <w:r>
        <w:rPr>
          <w:iCs/>
          <w:sz w:val="24"/>
          <w:szCs w:val="24"/>
          <w:u w:val="single"/>
        </w:rPr>
        <w:t xml:space="preserve">Акционерное общество «Российский Сельскохозяйственный банк»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эмитента: 03349-В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12 месяцев 2025 года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Информация,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содержащаяся в настоящем отчете эмитента, подлежит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раскрытию в соответствии с законодательством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Российской Федерации о ценных бумагах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эмитента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right w:val="single" w:color="auto" w:sz="4" w:space="0"/>
            </w:tcBorders>
            <w:tcW w:w="737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119034, г. Москва, Гагаринский пер., д. 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149"/>
        </w:trPr>
        <w:tc>
          <w:tcPr>
            <w:tcBorders>
              <w:left w:val="single" w:color="auto" w:sz="4" w:space="0"/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7370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Управляющий директор управления эмиссии акций и облигаций Департамента по работе на рынках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Прохорова Юлия Евгеньевна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+7 (495) 662-15-99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office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rshb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540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страницы в сети Интернет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737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/>
            <w:hyperlink r:id="rId11" w:tooltip="http://www.e-disclosure.ru/portal/company.aspx?id=3207" w:history="1">
              <w:r>
                <w:rPr>
                  <w:rStyle w:val="1063"/>
                  <w:rFonts w:ascii="Times New Roman" w:hAnsi="Times New Roman"/>
                  <w:sz w:val="24"/>
                  <w:szCs w:val="24"/>
                </w:rPr>
                <w:t xml:space="preserve">http://www.e-disclosure.ru/portal/company.aspx?id=3207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63"/>
                <w:rFonts w:ascii="Times New Roman" w:hAnsi="Times New Roman"/>
                <w:sz w:val="24"/>
                <w:szCs w:val="24"/>
              </w:rPr>
              <w:t xml:space="preserve">http://www.rshb.ru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540"/>
        <w:jc w:val="both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386"/>
        <w:gridCol w:w="1587"/>
        <w:gridCol w:w="2098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Председателя 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(на основании доверенности от 14.07.2025 № 234)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Borders>
              <w:left w:val="single" w:color="auto" w:sz="4" w:space="0"/>
              <w:bottom w:val="single" w:color="auto" w:sz="4" w:space="0"/>
            </w:tcBorders>
            <w:tcW w:w="5386" w:type="dxa"/>
            <w:textDirection w:val="lrTb"/>
            <w:noWrap w:val="false"/>
          </w:tcPr>
          <w:p>
            <w:pPr>
              <w:ind w:left="283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"22" апреля 2026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587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jc w:val="center"/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ОГЛАВЛЕНИЕ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8648"/>
        <w:gridCol w:w="992"/>
      </w:tblGrid>
      <w:tr>
        <w:tblPrEx/>
        <w:trPr>
          <w:trHeight w:val="30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8648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 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/>
          </w:tcPr>
          <w:p>
            <w:pPr>
              <w:jc w:val="center"/>
              <w:spacing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Управленческий отчет эмитента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0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1.1. Общие сведения об эмитенте и его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1.2. Сведения о положении эмитента в отрасли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1.3. Основные операционные показатели, характеризующие деятельность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3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 Основные финансовые показатели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1.4.1 Основные финансовые показатели эмитента, рассчитываемые на основе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консолидированной финансовой отчетности (финансовой отчетности), за исключением эмитентов, являющихся кредитной организацией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1.4.2 Основные финансовые показатели эмитента, рассчитываемые на основе бухгалтерской (финансовой) отчетности (для эмитентов, не составляющих и не раскрывающих консолидированную финансовую отчетность (финансовую отчетность)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1.4.3 Основные финансовые показатели эмитентов, являющихся кредитными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1.4.4 Иные финансовые показатели, в том числе характеризующие финансовые результаты деятельности эмитента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группы эмитента) в отношении выделяемых сегментов операционной деятельности, видов товаров (работ, услуг), контрагентов (включая связанные стороны), географии ведения бизнеса, иных аспектов, характеризующих специфику деятельности эмитента (группы эмитента)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1.4.5. Анализ динамики изменения финансовых показателей, приведенных в подпункте 1.4.3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1.5. Сведения об основных поставщиках эмитента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1.6. Сведения об основных дебиторах эмитента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1.7. Сведения об обязательствах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1.7.1. Сведения об основных кредиторах эмитента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1.7.2. Сведения об обязательствах эмитента из предоставленного обеспечения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1.7.3. Сведения о прочих существенных обязательствах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1.8. Сведения о перспективах развития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 Сведения о рисках, связанных с деятельностью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 Банковские риски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4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1.9.1.1. Кредитный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1.9.1.2. Рыночный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1.9.1.3. Процентный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1.9.1.4. Риск ликвидности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1.9.1.5. Операционный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1.9.1.6. Риск концентрации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27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8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1.9.1.7.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Комплаенс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-риск (регуляторный риск)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7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1.9.1.8. Стратегический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8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1.9.1.9. Риск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секьюретизации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9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1.9.2.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Страновые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региональные риски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29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5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1.9.3. Правовые риски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3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1.9.4. Риск потери деловой репутации (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репутационый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риск)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2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1.9.5. Природно-климатический риск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01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1.9.6. Иные риски, которые являются существенными для эмитента (группы эмитента)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1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II.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4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2.1. Информация о лицах, входящих в состав органов управления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2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50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5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53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62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0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8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highlight w:val="white"/>
              </w:rPr>
              <w:t xml:space="preserve"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2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3.1. Сведения об общем количестве акционеров (участников, членов)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6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("золотой акции")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7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3.4. Сделки эмитента, в совершении которых имелась заинтересованность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3.5. Крупные сделки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75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Раздел 4. Дополнительные сведения об эмитенте и о размещенных им ценных бумагах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/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</w:p>
        </w:tc>
      </w:tr>
      <w:tr>
        <w:tblPrEx/>
        <w:trPr>
          <w:trHeight w:val="19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4.1. Подконтрольные эмитенту организации, имеющие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807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4.2. Дополнительные сведения, раскрываемые эмитентами зеленых облигаций, социальных облигаций, облигаций устойчивого развития, адаптационных облигаций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4.2.1. Инфо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4.2(1). Дополнительные сведения, раскрываемые эмитентами инфраструктурных облигаций.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4.2(1).1. Информация о целевом использовании денежных средств, полученных от размещения инфраструктурных облигаций.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20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4.2(1).2. Информация о реализации инфраструктурного проекта.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4.2(2). Дополнительные сведения, раскрываемые эмитентами облигаций, связанных с целями устойчивого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4.2(2).1. Описание стратегии устойчивого развития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4.2(2).2. Информация о текущем (фактическом) значении ключевого показателя (показателей) деятельности эмитента, связанного с достижением целей устойчивого развития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4.2(3). Дополнительные сведения, раскрываемые эмитентами облигаций климатического перехода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4.2(3).1. Описание стратегии климатического перехода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648" w:type="dxa"/>
            <w:vMerge w:val="restart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4.2(3).2. Информация о реализации стратегии климатического перехода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14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4.3.1. Дополнительные сведения об ипотечном покрытии по облигациям эмитента с ипотечным покрытием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4.4. Сведения об объявленных и выплаченных дивидендах по акциям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4.5. Сведения об организациях, осуществляющих учет прав на эмиссионные ценные бумаги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4.5.1 Сведения о регистраторе, осуществляющем ведение реестра владельцев ценных бумаг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9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4.5.2. Сведения о депозитарии, осуществляющем централизованный учет прав на ценные бумаги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78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4.6. Информация об аудиторе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8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 xml:space="preserve">Раздел 5. Консолидированная финансовая отчетность (финансовая отчетность), бухгалтерская (финансовая) отчетность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14:ligatures w14:val="none"/>
              </w:rPr>
            </w:r>
            <w:r/>
          </w:p>
        </w:tc>
      </w:tr>
      <w:tr>
        <w:tblPrEx/>
        <w:trPr>
          <w:trHeight w:val="36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5.1. Консолидированная финансовая отчетность (финансовая отчетность) эмитента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  <w:tr>
        <w:tblPrEx/>
        <w:trPr>
          <w:trHeight w:val="9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648" w:type="dxa"/>
            <w:textDirection w:val="lrTb"/>
            <w:noWrap w:val="false"/>
          </w:tcPr>
          <w:p>
            <w:pPr>
              <w:jc w:val="both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  <w:outlineLvl w:val="0"/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5.2. Бухгалтерская (финансовая) отчетность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center"/>
        <w:pageBreakBefore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Введение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5"/>
        <w:ind w:firstLine="709"/>
        <w:rPr>
          <w:sz w:val="24"/>
          <w:szCs w:val="24"/>
        </w:rPr>
      </w:pPr>
      <w:r/>
      <w:bookmarkStart w:id="0" w:name="_Toc3227021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65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Основания возникновения обязанности осуществлять раскрытие информации в форме Отчета</w:t>
      </w:r>
      <w:bookmarkEnd w:id="0"/>
      <w:r>
        <w:rPr>
          <w:sz w:val="24"/>
          <w:szCs w:val="24"/>
        </w:rPr>
        <w:t xml:space="preserve"> эмитента.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Акционерное общество «Российский Сельскохозяйственный банк» (далее по тексту – АО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  <w:t xml:space="preserve">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», «Банк», «Кредитная организация – эмитент», «Эмитент», РСХБ) раскрывает информацию в форме отчета эмитента (далее по тексту – «Отчет», «Отчет эмитента») в </w:t>
      </w:r>
      <w:r>
        <w:rPr>
          <w:rFonts w:ascii="Times New Roman" w:hAnsi="Times New Roman" w:cs="Times New Roman"/>
          <w:sz w:val="24"/>
          <w:szCs w:val="24"/>
        </w:rPr>
        <w:t xml:space="preserve">соответствии с пунктом 4 статьи 30 Федерального закона от 22.04.1996                 № 39-ФЗ «О рынке ценных бумаг» и п. 11.1 главы 11 Положения Банка России от 27.03.2020 № 714-П «О раскрытии информации эмитентами эмиссионных ценных бумаг» (далее – Положе</w:t>
      </w:r>
      <w:r>
        <w:rPr>
          <w:rFonts w:ascii="Times New Roman" w:hAnsi="Times New Roman" w:cs="Times New Roman"/>
          <w:sz w:val="24"/>
          <w:szCs w:val="24"/>
        </w:rPr>
        <w:t xml:space="preserve">ние о раскрытии информации),  в связи с регистрацией Банком в отношении своих ценных бумаг проспектов ценных бумаг, а также в связи с допуском биржевых облигаций Банка к организованным торгам на бирже (с предоставлением бирже проспекта биржевых облигаций).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№ 1* к настоящему Отчету приведена консолидированная финансовая отчетность в отно</w:t>
      </w:r>
      <w:r>
        <w:rPr>
          <w:rFonts w:ascii="Times New Roman" w:hAnsi="Times New Roman" w:cs="Times New Roman"/>
          <w:sz w:val="24"/>
          <w:szCs w:val="24"/>
        </w:rPr>
        <w:t xml:space="preserve">шении Акционерного общества «Российский Сельскохозяйственный банк» и его дочерних организаций (совместно именуемых — «Группа», «Группа эмитента») за год, закончившийся 31 декабря 2025 года, подготовленная в соответствии с Международными стандартами финансо</w:t>
      </w:r>
      <w:r>
        <w:rPr>
          <w:rFonts w:ascii="Times New Roman" w:hAnsi="Times New Roman" w:cs="Times New Roman"/>
          <w:sz w:val="24"/>
          <w:szCs w:val="24"/>
        </w:rPr>
        <w:t xml:space="preserve">вой отчетности, принятыми Советом по Международным стандартам финансовой отчетности («МСФО»),  с аудиторским заключением независимого аудитора, на основании которой в Отчете эмитента раскрывается информация о финансово-хозяйственной деятельности Эмитента.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о финансово-хозяйственной деятельности Эмитента отражает его деятельность в качестве организации, которая вместе с другими организациями в соответствии с МСФО определяется как группа.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Консолидированная финансовая отчетность, на основании которой в настоящем Отчете эмитента раскрыта информация о финансово-хозяйственной деятельности Эмитента, дает объективное и достоверное представление об активах,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обязательствах, финансовом состоянии, прибыли или убытке Эмитента. Информация о финансовом состоянии и результатах деятельности Эмитента содержит достоверное представление о деятельности эмитента, а также об основных рисках, связанных с его деятельностью.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Настоящий Отчет эмитента содержит оценки и прогнозы в отношении </w:t>
      </w:r>
      <w:r>
        <w:rPr>
          <w:rFonts w:ascii="Times New Roman" w:hAnsi="Times New Roman" w:cs="Times New Roman"/>
          <w:sz w:val="24"/>
          <w:szCs w:val="24"/>
        </w:rPr>
        <w:t xml:space="preserve">будущих событий и (или) действий, перспектив развития отрасли экономики, в которой Эмитент осуществляет основную деятельность, и результатов деятельности Эмитента, его планов, вероятности наступления определенных событий и совершения определенных действий.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Инвесторы не должны полностью полагаться на оценки и прогнозы, приведенные в настоя</w:t>
      </w:r>
      <w:r>
        <w:rPr>
          <w:rFonts w:ascii="Times New Roman" w:hAnsi="Times New Roman" w:cs="Times New Roman"/>
          <w:sz w:val="24"/>
          <w:szCs w:val="24"/>
        </w:rPr>
        <w:t xml:space="preserve">щем Отчете эмитента, так как фактические результаты деятельности Эмитента в будущем могут отличаться от прогнозируемых результатов по многим причинам. Приобретение ценных бумаг Эмитента связано с рисками, в том числе описанными в настоящем Отчете эмитента.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*В соответствии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абзацем 12 пункта 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ми Федерального закона «О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 акционерных обществах» и Федерального закона «О рынке ценных бумаг» и Решением Совета директоров Банка России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19.12.2025                  «О требованиях к раскрытию кредитными организациями (головными кредитными организациями банковских групп) отчетности и информации в 2026 году»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риложение 1 к Отчету эмитента не раскрывается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highlight w:val="white"/>
          <w14:ligatures w14:val="none"/>
        </w:rPr>
      </w:r>
      <w:r>
        <w:rPr>
          <w:rFonts w:ascii="Times New Roman" w:hAnsi="Times New Roman" w:cs="Times New Roman"/>
          <w:highlight w:val="white"/>
          <w14:ligatures w14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1. Управленческий отчет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1" w:name="Par20"/>
      <w:r/>
      <w:bookmarkEnd w:id="1"/>
      <w:r>
        <w:rPr>
          <w:rFonts w:ascii="Times New Roman" w:hAnsi="Times New Roman" w:cs="Times New Roman"/>
          <w:b/>
          <w:sz w:val="24"/>
          <w:szCs w:val="24"/>
        </w:rPr>
        <w:t xml:space="preserve">1.1. Общие сведения об эмитенте и его деятельности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04.07.202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 акционерных обществах» и Федерального закона «О рынке ценных бумаг»,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пункту 7 и 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Приложения к Постановлению Правительства Российской Федерации от 04.07.2023 № 1102, информация в данном пункте раскрывается не в полном объеме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так как в отношении АО «Россельхозбанк» действуют ограничительные меры со стороны Великобритании, США, стран ЕС, Швейцарии, Канады, Австралии, Японии и Новой Зеландии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Краткая информация об эмитенте: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Полное и сокращенное фирменные наименования эмитента: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9209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4819"/>
      </w:tblGrid>
      <w:tr>
        <w:tblPrEx/>
        <w:trPr>
          <w:jc w:val="center"/>
          <w:trHeight w:val="40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фирменное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«Российский Сельскохозяйственный банк»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91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введено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Сокращенное фирменное 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Россельхозбанк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20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введено 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Уставом Банка: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полное фирменное наименование Банка на русском языке – Акционерное общество «Российский Сельскохозяйственный банк»;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полное фирменное наименование Банка на английском языке –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Joint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stock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company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Russian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Agricultural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Bank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сокращенное фирменное наименование Банка на русском языке –                                          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сокращенное фирменное наименование Банка на английском языке –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JSC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Rosselkhozbank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Место нахождения и адрес эмитента: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5012"/>
        <w:gridCol w:w="4168"/>
      </w:tblGrid>
      <w:tr>
        <w:tblPrEx/>
        <w:trPr>
          <w:jc w:val="center"/>
          <w:trHeight w:val="58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эмитента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г. 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1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Адрес эмитента: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168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119034, г. Москва, Гагаринский пер., д. 3 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Сведения о способе и дате создания эмитента: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</w:t>
      </w:r>
      <w:r>
        <w:rPr>
          <w:rFonts w:ascii="Times New Roman" w:hAnsi="Times New Roman" w:cs="Times New Roman"/>
          <w:sz w:val="24"/>
          <w:szCs w:val="24"/>
        </w:rPr>
        <w:t xml:space="preserve">анк создан в 2000 году в соответствии с распоряжением Президента Российской Федерации от 15 марта 2000 г. № 75-рп. Банк является ключевым звеном национальной кредитно-финансовой системы обслуживания товаропроизводителей в сфере агропромышленного комплекса.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Учредитель Банка -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Государственная корпорация «</w:t>
      </w:r>
      <w:r>
        <w:rPr>
          <w:rFonts w:ascii="Times New Roman" w:hAnsi="Times New Roman" w:cs="Times New Roman"/>
          <w:sz w:val="24"/>
          <w:szCs w:val="24"/>
        </w:rPr>
        <w:t xml:space="preserve">Агентство по реструктуризации кредитных организаций» – </w:t>
      </w:r>
      <w:r>
        <w:rPr>
          <w:rFonts w:ascii="Times New Roman" w:hAnsi="Times New Roman" w:cs="Times New Roman"/>
          <w:sz w:val="24"/>
          <w:szCs w:val="24"/>
        </w:rPr>
        <w:t xml:space="preserve">ГК АРКО (Решение о создании Банка принято Советом директоров Агентства 21.01.2000). В ходе второй дополнительной эмиссии акций Банка  1 марта 2001 г. в состав акционеров вошла Российская Федерация в лице Российского фонда федерального имущества.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070"/>
        <w:ind w:firstLine="709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июля 2001 г. состоялась передача акций Банка, принадлежащих ГК АРКО, Российскому фонду федерального имущества согласно распоряжению Правительства Российской Федерации от 21 марта 2001 г. № 394-р.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Российской Федерации от                            03 декабря 2004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 </w:t>
      </w:r>
      <w:r>
        <w:rPr>
          <w:rFonts w:ascii="Times New Roman" w:hAnsi="Times New Roman" w:cs="Times New Roman"/>
          <w:sz w:val="24"/>
          <w:szCs w:val="24"/>
        </w:rPr>
        <w:t xml:space="preserve">г. № 738 «Об управлении находящимися в федеральной собственности акциями открытых акционерных обществ и использовани</w:t>
      </w:r>
      <w:r>
        <w:rPr>
          <w:rFonts w:ascii="Times New Roman" w:hAnsi="Times New Roman" w:cs="Times New Roman"/>
          <w:sz w:val="24"/>
          <w:szCs w:val="24"/>
        </w:rPr>
        <w:t xml:space="preserve">и специального права на участие Российской Федерации в управлении открытыми акционерными обществами («золотой акции»)» с 10 марта 2005 г. права акционера от имени Российской Федерации осуществляет Федеральное агентство по управлению федеральным имуществом.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Указа Президента Российской Федерации от 12 мая 2008 г. № 724 Федеральное агентство по управлению федеральным имуществом преобразо</w:t>
      </w:r>
      <w:r>
        <w:rPr>
          <w:rFonts w:ascii="Times New Roman" w:hAnsi="Times New Roman" w:cs="Times New Roman"/>
          <w:sz w:val="24"/>
          <w:szCs w:val="24"/>
        </w:rPr>
        <w:t xml:space="preserve">вано в Федеральное агентство по управлению государственным имуществом, действующее на основании постановления Правительства Российской Федерации от 5 июня 2008 г.                     № 432 «О Федеральном агентстве по управлению государственным имуществом».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Доля Российской Федерации в уставном капитале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на 01.01.2026 – 86,92%. Права акционера, владеющего 100% голосующих обыкновенных акций Эмитента,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осуществляет Федеральное агентство по управлению государственным имуществом (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Росимущество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0"/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Случаи изменения наименования и (или) реорганизации эмитента в течение      2023 – 2025 года: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2023 – 2025 года Эмитент не изменял наименование. Реорганизация не проводилась.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Основной государственный регистрационный номер (ОГРН) и идентификационный номер налогоплательщика (ИНН) эмитента: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89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547"/>
      </w:tblGrid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7725114488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ОГРН: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1027700342890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Финансово-хозяйственная деятельность, операционные сегменты и география осуществления финансово-хозяйственной деятельности группы эмитента.  Краткая характеристика группы эмитента с указанием общего числа организаций, составляющих группу эмитента: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afterAutospacing="0" w:line="240" w:lineRule="auto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Группа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Банка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включает в себя Банк и его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дочерние компании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Все дочерние компании Банка находятся под контролем Банка (прямой или косвенный контроль через Подконтрольные организации Банка).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en-US"/>
        </w:rPr>
        <w:t xml:space="preserve">Диверсификация бизнеса Банка осуществляется за счет расширения продуктовой линейки, развития системы кросс-продаж, в том числе при участии организаций Группы Банка, отвеч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en-US"/>
        </w:rPr>
        <w:t xml:space="preserve">ающих за отдельные бизнес-направления (страхование, управление активами, факторинг, лизинг и др.).</w:t>
      </w:r>
      <w:r>
        <w:rPr>
          <w:rFonts w:eastAsia="Calibri"/>
          <w:color w:val="000000"/>
          <w:highlight w:val="none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 видом деятельности Банка являются коммерческие и розничные банковские операции на территории Российской Федерации, главным образом, кредитование агропромышленных предприятий. Основные задачи деятельности Банка заключаются в 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участие в реализации кредитно-денежной политики Российской Федерации в сфере агропромышленного производства;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формирование в сфере агропромышленного производства национальной кредитно-финансовой системы обслуживания отечественных сельскохозяйственных товаропроизводителей; 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участие в обеспечении эффективного и бесперебойного функционирования системы расчетов в агропромышленном комплексе на всей территории Российской Федерации.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имеет 64 филиала в Российской Федерации. Банк зарегистрирован по следующему адресу: 119034, Россия, г. Москва, Гагаринский пер., 3. Основным местом ведения деятельности Банка является: 123112, Россия, г. Москва, Пресненская наб., 10,              стр. 2.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</w:rPr>
        <w:t xml:space="preserve">Дочерние организации Банка широко представлены на рынке, продукты компаний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реализуются, в том числе, через офисы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Личный закон участников Группы эмитента: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Все участники Группы эмитента в своей деятельности руководствуются законодательством Российской Федерации.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Ограничения на долю участия иностранных лиц в уставном капитале Эмитента, установленные законодательством Российской Федерации или иными нормативными правовыми актами Российской Федерации: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Федеральным з</w:t>
      </w:r>
      <w:r>
        <w:rPr>
          <w:sz w:val="24"/>
          <w:szCs w:val="24"/>
        </w:rPr>
        <w:t xml:space="preserve">аконом от 02.12.1990 № 395-1 «О банках и банковской деятельности» установлено, что Банком России по состоянию на 1 января каждого года рассчитывается размер участия иностранного капитала в совокупном уставном капитале кредитных организаций, имеющих лицензи</w:t>
      </w:r>
      <w:r>
        <w:rPr>
          <w:sz w:val="24"/>
          <w:szCs w:val="24"/>
        </w:rPr>
        <w:t xml:space="preserve">ю на осуществление банковских операций,  как соотношение иностранных инвестиций нерезидентов в уставные капиталы кредитных организаций, имеющих лицензию на осуществление банковских операций, и совокупного уставного капитала указанных кредитных организаций.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расчет иностранных инвестиций в уставные капиталы кредитных организаций, имеющих лицензию на осуществление банковских операций, не включаются иностранные инвестиции: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1) осуществленны</w:t>
      </w:r>
      <w:r>
        <w:rPr>
          <w:sz w:val="24"/>
          <w:szCs w:val="24"/>
        </w:rPr>
        <w:t xml:space="preserve">е в уставные капиталы кредитных организаций, имеющих лицензию на осуществление банковских операций, и финансируемые за счет прибыли указанных кредитных организаций, полученной в Российской Федерации или репатриированной в Российскую Федерацию из-за рубежа;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2) осуществленные имеющими лицензию на осуществление банковских операций дочерними кредитными организациями иностранных бан</w:t>
      </w:r>
      <w:r>
        <w:rPr>
          <w:sz w:val="24"/>
          <w:szCs w:val="24"/>
        </w:rPr>
        <w:t xml:space="preserve">ков в уставные капиталы кредитных организаций, имеющих лицензию на осуществление банковских операций, а также все последующие инвестиции указанных организаций в уставные капиталы кредитных организаций, имеющих лицензию на осуществление банковских операций;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3) осуществленные до 1 января 2007 года в уставные капиталы кредитных организаций, имеющих лицензию на осуществление банковских операций;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4) осуществленные в уставные капиталы кредитных организаций, имеющих лицензию на осуществление банковских операций, приватизация которых осуществлялась после 22 августа 2012 года;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5) составляющие 51 и бол</w:t>
      </w:r>
      <w:r>
        <w:rPr>
          <w:sz w:val="24"/>
          <w:szCs w:val="24"/>
        </w:rPr>
        <w:t xml:space="preserve">ее процентов акций (долей) уставного капитала кредитной организации, имеющей лицензию на осуществление банковских операций, осуществленные после 1 января 2007 года при условии нахождения указанных акций (долей) в собственности инвестора в течение 12 и боле</w:t>
      </w:r>
      <w:r>
        <w:rPr>
          <w:sz w:val="24"/>
          <w:szCs w:val="24"/>
        </w:rPr>
        <w:t xml:space="preserve">е лет, если Банк России по истечении указанного срока не принял решение о продолжении включения указанных инвестиций в расчет и не опубликовал это решение. Порядок принятия Банком России указанного решения и его опубликования устанавливается Банком России.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Информация о размере участия иностранного капитала в банковской системе </w:t>
      </w:r>
      <w:r>
        <w:rPr>
          <w:sz w:val="24"/>
          <w:szCs w:val="24"/>
        </w:rPr>
        <w:t xml:space="preserve">Российской Федерации и показателях, использованных для его расчета, подлежит опубликованию в официальном издании Банка России «Вестник Банка России», а также размещению на официальном сайте Банка России в информационно-телекоммуникационной сети «Интернет».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Предельное значение размера участия иностранного капитала в банковской системе Российской Федерации (далее – квота) установлено в размере, равном 50 процентам.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При достижении квоты Банк России осуществляет следующие меры в отношении иностранных инвестиций: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 отказывает в регистрации кредитной организации с иностранными инвестициями и выдаче ей лицензии на осуществление банковских операций;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 налагает запрет на увеличение уставно</w:t>
      </w:r>
      <w:r>
        <w:rPr>
          <w:sz w:val="24"/>
          <w:szCs w:val="24"/>
        </w:rPr>
        <w:t xml:space="preserve">го капитала кредитной организации, имеющей лицензию на осуществление банковских операций, за счет средств нерезидентов и на отчуждение акций (долей) кредитной организации в пользу нерезидентов, если результатом указанных действий является превышение квоты.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в) отказывает в выдаче иностранному банку лицензии на осуществление банковских операций для осуществления деятельности на территории Российской Федерации через свой филиал и в аккредитации филиала иностранного банка на территории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Акции (доли) кредитной организации, отчужденные (проданные) с нарушением указанного запрета, не являются голосующими и не учитываются при определении кворума заседания общего собрания акционеров (участников) кредитной организации в течение периода действ</w:t>
      </w:r>
      <w:r>
        <w:rPr>
          <w:sz w:val="24"/>
          <w:szCs w:val="24"/>
        </w:rPr>
        <w:t xml:space="preserve">ия такого запрета. В случае совершения сделки (сделок) по отчуждению (приобретению) акций (долей) кредитной организации с нарушением указанного запрета Банк России подает иск о признании соответствующей сделки (сделок) недействительной (недействительными).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Меры, указанные в </w:t>
      </w:r>
      <w:r>
        <w:rPr>
          <w:sz w:val="24"/>
          <w:szCs w:val="24"/>
        </w:rPr>
        <w:t xml:space="preserve">п.п</w:t>
      </w:r>
      <w:r>
        <w:rPr>
          <w:sz w:val="24"/>
          <w:szCs w:val="24"/>
        </w:rPr>
        <w:t xml:space="preserve">. а), б), не применяются в отношении иностранных инвестиций, указанных в </w:t>
      </w:r>
      <w:r>
        <w:rPr>
          <w:sz w:val="24"/>
          <w:szCs w:val="24"/>
        </w:rPr>
        <w:t xml:space="preserve">п.п</w:t>
      </w:r>
      <w:r>
        <w:rPr>
          <w:sz w:val="24"/>
          <w:szCs w:val="24"/>
        </w:rPr>
        <w:t xml:space="preserve">. 1), 2). Меры, указанные в п. б), не применяются в отношен</w:t>
      </w:r>
      <w:r>
        <w:rPr>
          <w:sz w:val="24"/>
          <w:szCs w:val="24"/>
        </w:rPr>
        <w:t xml:space="preserve">ии иностранных инвестиций, направляемых в уставные капиталы кредитных организаций, имеющих лицензию на осуществление банковских операций, определяемых в соответствии с нормативными актами Банка России на основе международных договоров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Банк России прекращает применение вышеуказанных мер в случае, если размер участия иностранного капитала в банковской системе Российской Федерации составит менее 50 процентов.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Порядок применения и прекращения применения вышеуказанных мер и порядок раскрытия информации о применении, причинах применения, прекращении применения этих мер устанавливаются нормативными актами Банка России.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highlight w:val="yellow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Иные ограничения, связанные с участием в уставном капитале эмитента, установленные его уставом</w:t>
      </w:r>
      <w:r>
        <w:rPr>
          <w:b/>
          <w:i/>
          <w:sz w:val="24"/>
          <w:szCs w:val="24"/>
        </w:rPr>
        <w:t xml:space="preserve">: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Уставом эмитента не установлено ограничений на участие в его уставном капитале.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Иная информация, которая, по мнению эмитента, является существенной для получения заинтересованными лицами общего представления об эмитенте и его финансово-хозяйственной деятельности: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b/>
          <w:i/>
          <w:color w:val="ff0000"/>
          <w:sz w:val="24"/>
          <w:szCs w:val="24"/>
          <w:highlight w:val="yellow"/>
        </w:rPr>
      </w:pPr>
      <w:r>
        <w:rPr>
          <w:b/>
          <w:i/>
          <w:color w:val="ff0000"/>
          <w:sz w:val="24"/>
          <w:szCs w:val="24"/>
          <w:highlight w:val="yellow"/>
        </w:rPr>
      </w:r>
      <w:r>
        <w:rPr>
          <w:b/>
          <w:i/>
          <w:color w:val="ff0000"/>
          <w:sz w:val="24"/>
          <w:szCs w:val="24"/>
          <w:highlight w:val="yellow"/>
        </w:rPr>
      </w:r>
      <w:r>
        <w:rPr>
          <w:b/>
          <w:i/>
          <w:color w:val="ff0000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Для формирования уставного капитала кредитной организации - эмитента не могут быть использованы привлеченные денежные средства, средства федерального бюджета 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государственных внебюджетных фондов, свободные денежные средства и иные объекты собственности, находящиеся в ведении федеральных органов государственной власти, за исключением слу</w:t>
      </w:r>
      <w:r>
        <w:rPr>
          <w:rFonts w:ascii="Times New Roman" w:hAnsi="Times New Roman" w:cs="Times New Roman"/>
          <w:sz w:val="24"/>
          <w:szCs w:val="24"/>
        </w:rPr>
        <w:t xml:space="preserve">чаев, предусмотренных законодательством Российской Федерации; средства бюджетов субъектов Российской Федерации, местных бюджетов, свободные денежные средства и иные объекты собственности, находящиеся в ведении органов государственной власти субъектов Росси</w:t>
      </w:r>
      <w:r>
        <w:rPr>
          <w:rFonts w:ascii="Times New Roman" w:hAnsi="Times New Roman" w:cs="Times New Roman"/>
          <w:sz w:val="24"/>
          <w:szCs w:val="24"/>
        </w:rPr>
        <w:t xml:space="preserve">йской Федерации и органов местного самоуправления, могут быть использованы для формирования уставного капитала кредитной организации на основании соответственно законодательного акта субъекта Российской Федерации или решения органа местного самоуправления.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Если иное не установлено федеральными законами, приобретение (за исключением случая, если акции (доли) приобретаются при учреждении кредитной организации) и (или) получение в доверительное управление (далее - приобретение) </w:t>
      </w:r>
      <w:r>
        <w:rPr>
          <w:rFonts w:ascii="Times New Roman" w:hAnsi="Times New Roman" w:cs="Times New Roman"/>
          <w:sz w:val="24"/>
          <w:szCs w:val="24"/>
        </w:rPr>
        <w:t xml:space="preserve">в результате осуществления одной сделки или нескольких сделок одним юридическим либо физическим лицом более одного процента акций (долей) кредитной организации требуют уведомления Банка России, а более 10 процентов - предварительного согласия Банка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Получение предварительного согласия Банка России требуется также в случае приобретения: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более 10 процентов акций, но не более 25 процентов акций кредитной организации;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более 10 процентов долей, но не более одной трети долей кредитной организации;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более 25 процентов акций кредитной организации, но не более 50 процентов акций;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более одной трети долей кредитной организации, но не более 50 процентов долей;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более 50 процентов акций кредитной организации, но не более 75 процентов акций;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более 50 процентов долей кредитной организации, но не более двух третей долей;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более 75 процентов акций кредитной организации;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более двух третей долей кредитной организации.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Предварительного согласия Банка России требует также установление юридическим или физич</w:t>
      </w:r>
      <w:r>
        <w:rPr>
          <w:rFonts w:ascii="Times New Roman" w:hAnsi="Times New Roman" w:cs="Times New Roman"/>
          <w:sz w:val="24"/>
          <w:szCs w:val="24"/>
        </w:rPr>
        <w:t xml:space="preserve">еским лицом в результате осуществления одной сделки или нескольких сделок прямого либо косвенного (через третьих лиц) контроля в отношении акционеров (участников) кредитной организации, владеющих более чем 10 процентами акций (долей) кредитной организации.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Вышеуказанные требования распространяются также на случаи приобретения более одного процента акций </w:t>
      </w:r>
      <w:r>
        <w:rPr>
          <w:rFonts w:ascii="Times New Roman" w:hAnsi="Times New Roman" w:cs="Times New Roman"/>
          <w:sz w:val="24"/>
          <w:szCs w:val="24"/>
        </w:rPr>
        <w:t xml:space="preserve">(долей) кредитной организации, более 10 процентов акций (долей) кредитной организации и (или) на случай установления контроля в отношении акционеров (участников) кредитной организации группой лиц, признаваемой таковой в соответствии          с Федеральным </w:t>
      </w:r>
      <w:hyperlink r:id="rId12" w:tooltip="Федеральный закон от 26.07.2006 N 135-ФЗ (ред. от 02.11.2013) &quot;О защите конкуренции&quot;" w:history="1">
        <w:r>
          <w:rPr>
            <w:rFonts w:ascii="Times New Roman" w:hAnsi="Times New Roman" w:cs="Times New Roman"/>
            <w:sz w:val="24"/>
            <w:szCs w:val="24"/>
          </w:rPr>
          <w:t xml:space="preserve">законом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26.07.2006 № 135-ФЗ «О защите конкуренции».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Согласие Банка России на совершение сделки (сделок), направленной на приобретение более 10 процентов акций (долей) кредитной организации и (или) на установление контроля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акционеров (участников) кредитной организации, может быть получено после совершения сделки (далее - последующее согласие) в случае, если приобретение акций кредитной организации и (или) установление контроля в отношении акционеров (участников) кредитной о</w:t>
      </w:r>
      <w:r>
        <w:rPr>
          <w:rFonts w:ascii="Times New Roman" w:hAnsi="Times New Roman" w:cs="Times New Roman"/>
          <w:sz w:val="24"/>
          <w:szCs w:val="24"/>
        </w:rPr>
        <w:t xml:space="preserve">рганизации осуществляются при публичном размещении акций, а также в иных установленных законодательством Российской Федерации. Предусмотренная возможность получения последующего согласия распространяется также на приобретение более 10 процентов акций креди</w:t>
      </w:r>
      <w:r>
        <w:rPr>
          <w:rFonts w:ascii="Times New Roman" w:hAnsi="Times New Roman" w:cs="Times New Roman"/>
          <w:sz w:val="24"/>
          <w:szCs w:val="24"/>
        </w:rPr>
        <w:t xml:space="preserve">тной организации при публичном размещении акций и (или) на установление контроля в отношении акционеров (участников) кредитной организации группой лиц, признаваемой таковой в соответствии с Федеральным законом от 26.07.2006 № 135-ФЗ «О защите конкуренции».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Порядок получения предварительного согласия и последующего согласия Банка России на совершение сделки (сделок), направленной на приобретение более 10 процентов акций (долей) кредитной организации и (или) на установление контроля в отношении акционе</w:t>
      </w:r>
      <w:r>
        <w:rPr>
          <w:rFonts w:ascii="Times New Roman" w:hAnsi="Times New Roman" w:cs="Times New Roman"/>
          <w:sz w:val="24"/>
          <w:szCs w:val="24"/>
        </w:rPr>
        <w:t xml:space="preserve">ров (участников) кредитной организации, и порядок уведомления Банка России о приобретении более одного процента акций (долей) кредитной организации устанавливаются федеральными законами и принимаемыми в соответствии с ними нормативными актами Банка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Приобретение акций (долей) кредитной организации - эмитента нерезидентами регулируется федеральными законами;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Запрет на право унитарных государственных предприятий выступать учредителями (участниками) кредитных организаций.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2" w:name="Par30"/>
      <w:r/>
      <w:bookmarkEnd w:id="2"/>
      <w:r>
        <w:rPr>
          <w:rFonts w:ascii="Times New Roman" w:hAnsi="Times New Roman" w:cs="Times New Roman"/>
          <w:b/>
          <w:sz w:val="24"/>
          <w:szCs w:val="24"/>
        </w:rPr>
        <w:t xml:space="preserve">1.2. Сведения о положении эмитента в отрасли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/>
      <w:bookmarkStart w:id="3" w:name="Par38"/>
      <w:r/>
      <w:bookmarkEnd w:id="3"/>
      <w:r>
        <w:rPr>
          <w:rFonts w:ascii="Times New Roman" w:hAnsi="Times New Roman" w:cs="Times New Roman"/>
          <w:b/>
          <w:i/>
          <w:sz w:val="24"/>
          <w:szCs w:val="24"/>
        </w:rPr>
        <w:t xml:space="preserve">Общая хара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ктеристика отрасли, в которой эмитент (группа эмитента) осуществляет свою финансово-хозяйственную деятельность. Сведения о структуре отрасли и темпах ее развития, основных тенденциях развития, а также основных факторах, оказывающих влияние на ее состояние: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2025 году экономика России характеризовалась замедлением деловой активности в условиях сохранения высокого уровня процентных ставок и внешних ограничений. Рост ВВП снизился с 4,9% в 2024 году до 1,0% в 2025 году. Замедление затронуло все основные ком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поненты спроса: сократился экспорт и импорт, замедлился рост госрасходов и спрос со стороны населения и предприятий. Замедление экономики стало одним из важных факторов торможения инфляции, что позволило Банку России начать цикл снижения процентных ставок.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Внешняя конъюнктура в 2025 году оставалась стабильной. По оценке МВФ, рост мировой экономики и международной торговли в 2025 году составили 3,2% и 3,6% соответственно (вблизи уровней 2024 года), несмотря на активное использова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ние США мер торговой политики для достижения экономических и политических целей. Цены на мировых товарных рынках демонстрировали разнонаправленную динамику: снизились цены на энергоносители и продовольствие, существенно выросли цены на удобрения и металлы.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Российский экспорт в 2025 году сократился на 2% в долларовом выражении и, по оценкам Минэкономразвития России, на 1% в сопоставимых ценах. Снижение экспорта нефти и нефтепродуктов было отчасти 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омпенсировано ростом доходов от экспорта золота, металлов, удобрений. Усложнение логистики и расчетов также способствовало снижению импорта (-1% в реальном выражении, +4% в долларовом выражении). Чистый экспорт в 2025 году снизился на 1% по сравнению с рос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том на 8% в 2024 году. Улучшение геополитического фона на фоне умеренного снижения сальдо торгового баланса привело в 2025 году к укреплению рубля после существенного его ослабления в 2024 году: укрепление рубля к юаню составило 16,8%, к доллару – на 23%.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Рост конечного потребления сектора государственного управления в 2025 году замедлился до 1,6% по сравнению с 2,2% в 2024 году при сохранении приоритетного финансирования 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бороны, безопасности и социальных обязательств. Рост расходов был ограничен низким ростом доходов федерального бюджета (+1,6% в номинальном выражении) вследствие падения доходов бюджета, связанных с внешней торговлей, а также базовых нефтегазовых доходов.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Конечные расходы домашних хозяйств в 2025 году выросли на 3,4% по сравнению с 6,8% по итогам 2024 года. Рост потребления в 2025 году поддерживался сохранением высокого темпа роста доходов населения: реальные располагаемые доходы населения в 2025 году, по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ценке Росстата, увеличились на 7,4%. Номинальный рост заработной платы в 2025 году составил 13,5%, реальный – 4,4%. Динамика спроса со стороны предприятий (в части валового накопления основного капитала) замедлилась с 8,6% в 2024 году до 1,7% в 2025 году.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Замедление внутреннего спроса, укрепление рубля и снижение мировых цен на продукцию АПК привело к замедлению инфляции в 2025 году до 5,6% по сравнению с 9,5% в 2024 году. Снижение инфляц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ии и инфляционных ожиданий позволило Банку России перейти к смягчению денежно-кредитной политики. Ключевая ставка в течение 2025 г. была снижена с 21% до 16%, однако ее средний уровень (19,2%) в 2025 году оставался выше значения предыдущего года (17,5%).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АПК в 2025 году продолжило играть ключевую роль в обеспечении продовольственной безопасности и экономической стабильности. По итогам 2025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года прирост продукции АПК составил 2,2%. Урожай большинства культур оказался выше, чем в 2024 году: рост валового сбора зерновых и зернобобовых культур увеличился на 11% до 139,4 млн. тонн в чистом весе. Установлен рекордный урожай по всем трем основным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культурам зернобобовых, достигнуты рекорды по производству сои и рапса, а также урожайности риса.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Агропромышленный экс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порт в 2025 году снизился. Среди факторов сокращения экспорта продукции АПК, помимо снижения мировых цен на зерно и растительные масла – низкая рентабельность экспорта из-за укрепления рубля и роста издержек (страхование, фрахт, логистика и т.д.), а также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санкционные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ограничения и начало переориентации ключевых покупателей российских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агротоваров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(Индия, КНР)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самообеспечение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При этом Россия осталась мировым лидером по экспорту пшеницы и подсолнечного масла, нарастив экспорт свинины, рапсового масла, мороженой рыбы, макаронных изделий и мороженого.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итогам 2025 года рентабельность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сельхозорганизаций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снизилась до минимального за последние 6 лет уровня, составив 13% без учета субсидий и 15,7% - с их учетом. Снижение обусловлено снижением рентабельности экспорта на фоне высоких производственных расходов, роста зарплат и расходов по обслуживанию долга.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Несмотря на снижение рентабельности, сектор АПК повысил уровень технологической трансформации, развивая более глубокую переработку сельхозпродукции и свой экспортный потенциал.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банковском 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ынке в течение года наблюдалось замедление роста активов и его составляющих. Объем нетто-активов банковской системы достиг 211 трлн рублей, а их соотношение к ВВП выросло с 98% до 99%. Существенное влияние на динамику оказала отрицательная валютная переоце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нка. Прирост активов в 2025 году составил 5,8%, а при устранении эффекта валютной переоценки 9% (в 2024 году - 17%). Ключевыми факторами замедления в 2025 году выступили более слабая динамика кредитования юридических лиц (+11,6%) и физических лиц (+5,9%).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Чистая прибыль банковского сектора в 2025 году оставалась высокой, составив 3,5 трлн руб. Небольшое снижение прибыли относительно уровня 2024 года (3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,8 трлн руб.) обусловлено ростом расходов на резервы (+0,6 трлн руб.) и операционных расходов (+0,5 трлн руб.). Рост издержек был по большей части компенсирован чистым процентным доходом банков (+0,9 трлн руб.) вследствие роста активов и увеличения на 0,1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п.п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чистой процентной маржи.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Корпоративное 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редитование в 2025 году замедлилось (+11,6%)), объем портфеля кредитов юридическим лицам достиг 96,6 трлн руб. (45% ВВП). Замедление было вызвано существенными авансированием расходов бюджета в начале года, а также смещением спроса организаций на долговой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рынок вследствие значительной разницы между ключевой ставкой и ставками долгового рынка. По мере смягчения Банком России денежно-кредитной политики и снижения объемов государственных расходов (относительно аналогичных месяцев 2024 года) отмечалось ускорени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 темпов кредитования. Качество портфеля в корпоративном сегменте характеризовалось умеренным ухудшением: доля просроченной задолженности по кредитам юридических лиц с начала 2025 года выросла с 2,6% до 2,8%, оставаясь ниже уровня начала 2024 года (2,9%).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Кредитование АПК прод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емонстрировало устойчивый рост: за 2025 год кредитный портфель АПК увеличился на 10,2% (+ 8,1% за аналогичный период 2024 года). Портфель кредитов АПК достиг 5,3 трлн руб. (2,5% ВВП), доля просроченной задолженность сектора за год снизилась с 4,0% до 3,7%.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Розничное кредитование в 2025 году развивалось неоднородно по сегментам. Портфель кредитов физических лиц увеличился до 38,7 трлн рублей (18% ВВП). За год портфель кредитов вырос на 5,9% (с поправкой 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секьюритизацию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/переуступку). Рост ипотечного портфеля на 11,1% сопровождался сокращением потребительских ссуд на 4,6%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Основными факторами роста спроса на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ипотеку во II полугодии выступили снижение ключевой ставки и ожидание ужесточения условий по программе «Семейная ипотека» в начале 2026 года. В обоих сегментах усилились риски качества: доля просроченной задолженности в ипотеке выросла с 0,5% до 1,0%, по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неипотечным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кредитам – с 7,1% до 8,9%.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Средства клиентов банков в 2025 году продолжили расти замедляющимся темпом. Объем средств физических лиц без учета средств на счетах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эскроу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на конец 2025 года составил 67 трлн рублей (32% ВВП), прирост за год составил 16,2% по сравнению с 27,7% годом ранее.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Замедление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обусловлено торможением роста доходов, в том числе по причине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переноса части выплат годовых бонусов с 2025 года на конец 2024 года в связи с увеличением НДФЛ.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Объем средств юридических лиц составил 80,3 трлн рублей (38% ВВП, с учетом средств на счетах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эскроу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средств государственного бюджета), прирост составил 5,9%. Негативное влияние на динамику показателя оказало снижение экспортной выручки (на 14% в рублевом выражении).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Регулирование банковского сектора в 2025 году было направлено на сохранение курса на повышение устойчивости банков, в том числе через развитие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макропруденциальных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инструментов и уточнение требований к раскрытию и контролю отдельных рисков. Плановое восстановление надбавок к капиталу банком и ужесточение лимито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по отдельным сегментам сдерживали темпы кредитования менее «качественных» заемщиков. В конце 2025 года СЗКО перешли на национальный норматив краткосрочной ликвидности (ННКЛ), в связи с чем выросла конкуренция банков за привлечение средств физических лиц.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2025 году был расширен перечень подозрительных операций, включая установленные признаки перевода денежных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средств без добровольного согласия клиента (в том числе с отдельными критериями для цифрового рубля). Регулирование операций с ЦФА и цифровыми валютами стало жестче за счет расширения требований к раскрытию, учету и контролю рисков (включая операционные,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/AML и рыночные), что повысило требования к внутренним процедурам и планированию таких операций.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Общая оценка результатов финансово-хозяйственной деятельности эмитента (группы эмитента) в данной отрасли: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ры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нке кредитов юридических лиц (нефинансовых организаций) доля Банка по итогам 2025 года составила 4,1% (4,1% в 2024 году). Доля Банка на рынке розничных кредитов составила 1,3% (1,6% в 2024 году) в условиях приоритета сохранения высокого качества портфеля. 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портфеле привлеченных средств юридических лиц, включая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эскроу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средства бюджета, доля Банка не изменилась, составив 2,8%. Рыночная доля Банка на рынке средств физических лиц сократилась на 1,0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п.п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до 3,1%.</w:t>
      </w:r>
      <w:r>
        <w:rPr>
          <w:rFonts w:ascii="Times New Roman" w:hAnsi="Times New Roman" w:cs="Times New Roman"/>
          <w:color w:val="000000" w:themeColor="text1"/>
          <w:highlight w:val="white"/>
        </w:rPr>
      </w:r>
      <w:r>
        <w:rPr>
          <w:rFonts w:ascii="Times New Roman" w:hAnsi="Times New Roman" w:cs="Times New Roman"/>
          <w:color w:val="000000" w:themeColor="text1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Доля Банка на рынке кредитования АПК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Style w:val="1107"/>
        <w:tblW w:w="0" w:type="auto"/>
        <w:tblLook w:val="04A0" w:firstRow="1" w:lastRow="0" w:firstColumn="1" w:lastColumn="0" w:noHBand="0" w:noVBand="1"/>
      </w:tblPr>
      <w:tblGrid>
        <w:gridCol w:w="945"/>
        <w:gridCol w:w="2925"/>
        <w:gridCol w:w="1680"/>
        <w:gridCol w:w="1680"/>
        <w:gridCol w:w="1680"/>
      </w:tblGrid>
      <w:tr>
        <w:tblPrEx/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№ п/п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5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Вид деятельности Банка на рынке кредитования АПК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Рыночная доля Банка 31.12.2023, в процентах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Рыночная доля Банка 31.12.2024, в процентах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highlight w:val="white"/>
              </w:rPr>
              <w:t xml:space="preserve">Рыночная доля Банка 31.12.2025, в процентах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Кредитование АПК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32,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33,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Финансирование сезонных работ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68,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77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4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25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Льготное кредитование АПК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6,8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680" w:type="dxa"/>
            <w:vAlign w:val="center"/>
            <w:textDirection w:val="lrTb"/>
            <w:noWrap w:val="false"/>
          </w:tcPr>
          <w:p>
            <w:pPr>
              <w:jc w:val="center"/>
              <w:rPr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42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</w:rPr>
              <w:t xml:space="preserve">,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дополнение к классическому банковскому бизнесу, Банк в рамках Группы развивает финансовые сервисы, включая услуги лизинга, факторинга, страхования и управления активами. В этих секторах по состоянию на 01.01.2026 Группа занимает: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7"/>
        <w:numPr>
          <w:ilvl w:val="0"/>
          <w:numId w:val="6"/>
        </w:numPr>
        <w:ind w:left="709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место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сельскохозяйственному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страхованию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7"/>
        <w:numPr>
          <w:ilvl w:val="0"/>
          <w:numId w:val="6"/>
        </w:numPr>
        <w:ind w:left="709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6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 место по инвестиционному и накопительному страхованию жизни;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6"/>
        </w:numPr>
        <w:ind w:left="709" w:firstLine="0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место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факторинговому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портфелю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Фактические показатели, характеризующие положение эмитента (группы эмитента) в банковском секторе экономики в целом. Оц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енка соответствия результатов деятельности эмитента (группы эмитента) тенденциям развития банковского сектора экономики. Причины, обосновывающие полученные результаты деятельности (удовлетворительные и неудовлетворительные, по мнению эмитента, результаты):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  <w:lang w:eastAsia="ru-RU"/>
        </w:rPr>
        <w:t xml:space="preserve">Валютная переоценка показателей баланса оказывала существенный эффект из-за укрепления курса рубля к доллару в течение 2025 г. на 23,1% (в 2024 г. курс ослаб на 13,4%). Поскольку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валютизация статей баланса РСХБ отличается от показателя в целом по рынку, в целях более коррект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ного сравнения ниже показатели прироста портфеля приведены с исключением валютной переоценки. Показатели баланса Банка также рассчитаны в соответствии с группировкой счетов, используемой Банком России для расчета аналитических показателей  по рынку в целом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и могут немного отличаться от показателей, приведенных в других разделах документа.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Суммарный кредитный портфель Банка в 2025 году увеличился на 3,3% и на 01.01.2026 составил 4,2 трлн руб. Основную долю портфеля Банка составляют кредиты, предоставленные корпоративным заемщикам: их доля на 01.01.2026 составила 86,5%.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Объем корпоративного кредитного портфеля в 2025 году вырос на 9,8%, рынок вырос на 10,9%.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 этом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портфель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целевого для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Банка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сегмента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кредитования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АПК был увеличен на 11%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сравнению с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10% по рынку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Доля п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росроченной задолженности юридических лиц в Банке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незначительно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выросла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до 2,2%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(+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0,1 п.п.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за год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оставаясь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существенно лучше среднего рыночного уровня (2,8%).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Розничный кредитный портфель в 2025 году снизился на 12,7%. Рынок в 2025 г. вырос на 3,2% с поправкой на секьюритизацию и выкуп специализированными финансовыми обществами части портфеля.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условиях существенного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ухудшения качества розничных кредитов по рынку в целом </w:t>
      </w:r>
      <w:r>
        <w:rPr>
          <w:rFonts w:ascii="Times New Roman" w:hAnsi="Times New Roman" w:cs="Times New Roman"/>
          <w:sz w:val="24"/>
          <w:szCs w:val="24"/>
        </w:rPr>
        <w:t xml:space="preserve">(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4,7%, +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п.п. за год),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политика Банка была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направлена на удержание доли просроченной задолженности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на уровне начала года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Ее уровень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остался неизменным -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2,5%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Банк занимает 2-е место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по качеству портфеля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среди крупнейших кредитн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ых организаций.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условиях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снижения уровня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ключевой ставки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умеренного роста кредитного портфеля Банк сосредоточился на удешевлении стоимости привлекаемых средств.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Привлеченные средства юридических лиц, включая счета эскроу и государственные средства, в 2025 г. выросли на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6,6% по сравнению с 5,8% в целом по рынку.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Прирост привлеченных Банком средств физических лиц в 2025 году составил 11,7% (по рынку в целом – 16,2%)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Чистая процентная маржа (NIM) Банка осталась неизменной на уровне 2,7 п.п.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состоянию на 01.01.2026 Банк входит в ТОП крупнейших кредитных организаций Российской Федерации, занимая: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7"/>
        <w:numPr>
          <w:ilvl w:val="0"/>
          <w:numId w:val="21"/>
        </w:numPr>
        <w:jc w:val="both"/>
        <w:spacing w:after="0" w:line="240" w:lineRule="auto"/>
        <w:tabs>
          <w:tab w:val="left" w:pos="360" w:leader="none"/>
          <w:tab w:val="clear" w:pos="720" w:leader="none"/>
          <w:tab w:val="left" w:pos="851" w:leader="none"/>
          <w:tab w:val="left" w:pos="992" w:leader="none"/>
        </w:tabs>
        <w:rPr>
          <w:rFonts w:ascii="Times New Roman" w:hAnsi="Times New Roman" w:cs="Times New Roman"/>
          <w:sz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highlight w:val="white"/>
          <w:lang w:val="ru-RU"/>
        </w:rPr>
        <w:t xml:space="preserve"> 1 место по финансированию сезонных работ АПК; </w:t>
      </w:r>
      <w:r>
        <w:rPr>
          <w:rFonts w:ascii="Times New Roman" w:hAnsi="Times New Roman" w:cs="Times New Roman"/>
          <w:sz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highlight w:val="white"/>
          <w:lang w:val="ru-RU"/>
        </w:rPr>
      </w:r>
    </w:p>
    <w:p>
      <w:pPr>
        <w:pStyle w:val="1067"/>
        <w:numPr>
          <w:ilvl w:val="0"/>
          <w:numId w:val="21"/>
        </w:numPr>
        <w:jc w:val="both"/>
        <w:spacing w:after="0" w:line="240" w:lineRule="auto"/>
        <w:tabs>
          <w:tab w:val="left" w:pos="360" w:leader="none"/>
          <w:tab w:val="clear" w:pos="720" w:leader="none"/>
          <w:tab w:val="left" w:pos="851" w:leader="none"/>
          <w:tab w:val="left" w:pos="992" w:leader="none"/>
        </w:tabs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highlight w:val="white"/>
          <w:lang w:val="ru-RU"/>
        </w:rPr>
        <w:t xml:space="preserve"> 4 место по размеру филиальной сети.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состоянию на 01.01.2026 года Банк занимал ведущие позиции на рынках кредитования (по кредитному портфелю) ключевых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подотраслей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АПК. В частности, рыночная доля Банка составила: </w:t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</w:p>
    <w:p>
      <w:pPr>
        <w:pStyle w:val="1067"/>
        <w:numPr>
          <w:ilvl w:val="0"/>
          <w:numId w:val="21"/>
        </w:numPr>
        <w:jc w:val="both"/>
        <w:spacing w:after="0" w:line="240" w:lineRule="auto"/>
        <w:tabs>
          <w:tab w:val="left" w:pos="360" w:leader="none"/>
          <w:tab w:val="clear" w:pos="720" w:leader="none"/>
          <w:tab w:val="left" w:pos="851" w:leader="none"/>
          <w:tab w:val="left" w:pos="992" w:leader="none"/>
        </w:tabs>
        <w:rPr>
          <w:rFonts w:ascii="Times New Roman" w:hAnsi="Times New Roman" w:cs="Times New Roman"/>
          <w:sz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highlight w:val="white"/>
          <w:lang w:val="ru-RU"/>
        </w:rPr>
        <w:t xml:space="preserve"> по отрасли «Сельское хозяйство, охота и предоставление услуг в этих областях» – 45,0%; </w:t>
      </w:r>
      <w:r>
        <w:rPr>
          <w:rFonts w:ascii="Times New Roman" w:hAnsi="Times New Roman" w:cs="Times New Roman"/>
          <w:sz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highlight w:val="white"/>
          <w:lang w:val="ru-RU"/>
        </w:rPr>
      </w:r>
    </w:p>
    <w:p>
      <w:pPr>
        <w:pStyle w:val="1067"/>
        <w:numPr>
          <w:ilvl w:val="0"/>
          <w:numId w:val="21"/>
        </w:numPr>
        <w:jc w:val="both"/>
        <w:spacing w:after="0" w:line="240" w:lineRule="auto"/>
        <w:tabs>
          <w:tab w:val="left" w:pos="360" w:leader="none"/>
          <w:tab w:val="clear" w:pos="720" w:leader="none"/>
          <w:tab w:val="left" w:pos="851" w:leader="none"/>
          <w:tab w:val="left" w:pos="992" w:leader="none"/>
        </w:tabs>
        <w:rPr>
          <w:rFonts w:ascii="Times New Roman" w:hAnsi="Times New Roman" w:cs="Times New Roman"/>
          <w:sz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highlight w:val="white"/>
          <w:lang w:val="ru-RU"/>
        </w:rPr>
        <w:t xml:space="preserve"> по отрасли «Производство пищевых продуктов, включая напитки, и табака» – 20,9%;</w:t>
      </w:r>
      <w:r>
        <w:rPr>
          <w:rFonts w:ascii="Times New Roman" w:hAnsi="Times New Roman" w:cs="Times New Roman"/>
          <w:sz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Банк занимает лидирующие позиции на рынке кредитования сезонных работ, на 01.01.2026 года рыночная доля Банка (по выдачам) составила 77,9%.</w:t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sz w:val="24"/>
          <w:szCs w:val="24"/>
          <w:highlight w:val="white"/>
          <w14:ligatures w14:val="non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об основных конкурентах эмитента (группы эмитента), сопоставление сильных и слабых сторон эмитента (группы эмитента) в сравнении с ними.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Основными конкурентами Банка на рынке корпоративного и розничного кредитования являются Банк ВТБ (ПАО), АО «ДОМ.РФ», Банк ГПБ (АО) и                          ПАО Промсвязьбанк.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Основным конкурентом Банка на рынке кредитования АПК является ПАО Сбербанк.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Сильные стороны Банка: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Лидерство в кредитовании АПК, в 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. малых форм хозяйствования, в финансировании сезонных работ;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Широкая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филиальная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сеть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(ТОП-4);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Статус государственного банка - 100% акций принадлежат Правительству Российской Федерации;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Уникальная отраслевая экспертиза в АПК;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Широкая продуктовая линейка универсального банка, адаптированная к потребностям клиентов АПК, в 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. малых форм хозяйствования;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Возможность осуществления международных платежей с дружественными странами в условиях санкций;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Участие Банка в приоритетных национальных проектах, активное взаимодействие с органами государственной власти, ключевыми отраслевыми союзами АПК.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ind w:left="360"/>
        <w:jc w:val="both"/>
        <w:spacing w:after="0" w:line="240" w:lineRule="auto"/>
        <w:tabs>
          <w:tab w:val="num" w:pos="360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Слабые стороны Банка: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67"/>
        <w:numPr>
          <w:ilvl w:val="0"/>
          <w:numId w:val="2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Более низкая, относительно конкурентов, 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маржинальность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 основной деятельности, в силу реализации государственной задачи поддержки и развития сельскохозяйственной отрасли и сельских территорий;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2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Наличие разветвленной сети с фокусом на менее экономически развитые сельские регионы и малые города;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2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cyan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  <w:t xml:space="preserve">Ограниченный потенциал роста бизнеса при текущем объеме капитала.</w:t>
      </w:r>
      <w:r>
        <w:rPr>
          <w:rFonts w:ascii="Times New Roman" w:hAnsi="Times New Roman" w:cs="Times New Roman"/>
          <w:sz w:val="24"/>
          <w:szCs w:val="24"/>
          <w:highlight w:val="cyan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cyan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Отдельное (несовпадающее) мнение каждого из органов управления эмитента относительно представленной информации и аргументация, объясняющая их позицию. 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Отдельные (несовпадающие) мнения органов управления Эмитента относительно представленных данных отсутствуют.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Особые мнения членов совета директоров (наблюдательного совета) эмитента или членов коллегиального исполнительного органа эмитента (настаивающих на отражении в отчете эмитента таких мнений) относительно представленной информации, отраженны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е в протоколе собрания (заседания) совета директоров (наблюдательного совета) эмитента или коллегиального исполнительного органа, на котором рассматривались соответствующие вопросы, и аргументация членов органов управления эмитента, объясняющая их позиции: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Особые мнения членов Наблюдательного совета или членов Правления Эмитента относительно представленной информации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1.3. Основные операционные показатели, характеризующие деятельность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Основные операционные показатели, наиболее объективно и всесторонне характеризующие финансово-хозяйственную деятельность группы эмитента в натуральном выражении: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9210" w:type="dxa"/>
        <w:tblLook w:val="04A0" w:firstRow="1" w:lastRow="0" w:firstColumn="1" w:lastColumn="0" w:noHBand="0" w:noVBand="1"/>
      </w:tblPr>
      <w:tblGrid>
        <w:gridCol w:w="720"/>
        <w:gridCol w:w="4662"/>
        <w:gridCol w:w="1984"/>
        <w:gridCol w:w="1844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shd w:val="clear" w:color="ffffff" w:themeColor="background1" w:fill="ffffff" w:themeFill="background1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01.01.2026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green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01.01.2025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Активы группы, млн руб.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5 965 265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5 566 351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Рентабельность активов (ROА), 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0,9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9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Кредитный портфель до вычета резервов по кредитным убыткам (включая кредиты, оцениваемые по справедливой стоимости), млн рублей,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4 374 288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4 238 133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3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Кредиты юридическим лицам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3 866 375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3 657 335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Кредиты физическим лицам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507 913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580 798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527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Средства клиентов, млн рублей,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br/>
              <w:t xml:space="preserve">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4 394 312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4 119 336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Юридических лиц,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2 022 925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1 948 505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4.1.1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текущие/расчетные счета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255 343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327 561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4.1.2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срочные депозиты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1 767 582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1 620 944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Физических лиц, в том числе: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2 371 387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2 170 831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4.2.1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текущие счета/счета до востребования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335 295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336 081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4.2.2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срочные депозиты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2 036 092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1 834 750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Соотношение кредитов к депозитам (LD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val="en-US" w:eastAsia="ru-RU"/>
              </w:rPr>
              <w:t xml:space="preserve">R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), 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99,5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102,9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Уставный капитал Группы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526 794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523 333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Анализ динамики изменения приведенных показателей операционной деятельности эмитента (группы эмитента): 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состоянию на 01.01.2026 активы группы увеличились на 398 914 млн рублей или на 7,17% по сравнению с началом года и составили 5 965 265 млн рублей. Рентабельность активов на 01.01.2026 составила 0,9%, что на 10 базисных пунктов, выше значения на 01.01.2025.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Кредитный портфель до вычета резервов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кредитным убыткам по состоянию на 01.01.2026 составил 4 374 288 млн рублей, увеличившись на 136 155 млн рублей (+3,21%) по сравнению с 2024 годом увеличение за счет роста объема кредитов юридическим лицам на                 209 040 млн рублей (+5,72%).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Средства клиентов, составляющие 4 394 312 млн рублей, в отчетном периоде увеличились по сравнению с 01.01.2025, на 274 976 млн рублей (+6,68%) за счет увеличения объема срочных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депозитов  юридических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лиц на 146 638 млн рублей (+9,05%) и физических лиц на 201 342 млн рублей (+10,97%). </w:t>
      </w:r>
      <w:r>
        <w:rPr>
          <w:rFonts w:ascii="Times New Roman" w:hAnsi="Times New Roman" w:cs="Times New Roman"/>
          <w:sz w:val="24"/>
          <w:szCs w:val="24"/>
          <w:highlight w:val="white"/>
          <w:shd w:val="clear" w:color="ffffff" w:themeColor="background1" w:fill="ffffff" w:themeFill="background1"/>
        </w:rPr>
        <w:t xml:space="preserve">В структуре привлеченных средств клиентов основную долю составляют срочные депозиты.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Доля срочных депозитов 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ридических лиц от общей суммы привлеченных средств клиентов на 01.01.2026 составила 40,22% (на 01.01.2025 – 39,35%), доля срочных депозитов физических лиц от общей суммы привлеченных средств клиентов на 01.01.2026 составила 46,33% (на 01.01.2025 – 44,54%).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Показатель соотношения кредитов к депозитам (LDR) за 2025 год незначительно на 3,40% снизился, поскольку темп роста привлеченных средств клиентов в отчетном году незначительно превышал темп роста кредитного портфеля.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Уставный капитал Группы по состоянию на 01.01.2026 года составил 526 794 млн рублей. В </w:t>
      </w:r>
      <w:r>
        <w:rPr>
          <w:rFonts w:ascii="Times New Roman" w:hAnsi="Times New Roman" w:cs="Times New Roman"/>
          <w:sz w:val="24"/>
          <w:szCs w:val="24"/>
        </w:rPr>
        <w:t xml:space="preserve">2025 году Банк увеличил размер уставного капитала на 3 461 млн. рублей за счет дополнительной эмиссий обыкновенных акций. </w:t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Основные события и факторы, в том числе макроэкономические, произошедшие                                 в отчетном периоде, которые, по мнению эмитента, оказали существенное влияние на изменение основных операционных показателей группы эмитента: 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Рост АПК и стабильное финансовое положение сектора позволили нарастить кредитование целевого корпоративного сегмента.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Розничный портфел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ь в 2025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г. сократился, однако Банк сохранил его качество на неизменном уровне на фоне существенного роста доли просроченной задолженности физических лиц по банковской системе в целом. Сдерживающее влияние на кредитную активность в розничном сегменте также оказало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ужесточение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макропруденциального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регулирования Банка России, а также дальнейшее повышение нормативов достаточности капитала, в том числе за счет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антициклической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надбавки.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 Основные финансовые показатели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1.4.1 Основные финансовые показатели эмитента, рассчитываемые на основе консолидированной финансовой отчетности (финансовой отчетности), за исключением эмитентов, являющихся кредитной организацией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Calibri" w:hAnsi="Calibri" w:cs="Calibri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применимо. Эмитент является кредитной организацией</w:t>
      </w:r>
      <w:r>
        <w:rPr>
          <w:rFonts w:ascii="Calibri" w:hAnsi="Calibri" w:cs="Calibri"/>
        </w:rPr>
        <w:t xml:space="preserve">.</w:t>
      </w:r>
      <w:r>
        <w:rPr>
          <w:rFonts w:ascii="Calibri" w:hAnsi="Calibri" w:cs="Calibri"/>
        </w:rPr>
      </w:r>
      <w:r>
        <w:rPr>
          <w:rFonts w:ascii="Calibri" w:hAnsi="Calibri" w:cs="Calibri"/>
        </w:rPr>
      </w:r>
    </w:p>
    <w:p>
      <w:pPr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1.4.2 Основные финансовые показатели эмитента, рассчитываемые на основе бухгалтерской (финансовой) отчетности (для эмитентов, не составляющих и не раскрывающих консолидированную финансовую отчетность (финансовую отчетность)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Не применимо. Эмитент составляет консолидированную финансовую отчетность</w:t>
      </w: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color w:val="385623" w:themeColor="accent6" w:themeShade="80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1.4.3 Основные финансовые показатели эмитента, являющегося кредитной организацией: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10708" w:type="dxa"/>
        <w:tblLook w:val="04A0" w:firstRow="1" w:lastRow="0" w:firstColumn="1" w:lastColumn="0" w:noHBand="0" w:noVBand="1"/>
      </w:tblPr>
      <w:tblGrid>
        <w:gridCol w:w="720"/>
        <w:gridCol w:w="4662"/>
        <w:gridCol w:w="2126"/>
        <w:gridCol w:w="1519"/>
        <w:gridCol w:w="223"/>
        <w:gridCol w:w="1458"/>
      </w:tblGrid>
      <w:tr>
        <w:tblPrEx/>
        <w:trPr>
          <w:gridAfter w:val="2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показателя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eastAsia="ru-RU"/>
              </w:rPr>
              <w:t xml:space="preserve">2025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  <w:lang w:val="en-US" w:eastAsia="ru-RU"/>
              </w:rPr>
              <w:t xml:space="preserve">год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2024 год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r>
          </w:p>
        </w:tc>
      </w:tr>
      <w:tr>
        <w:tblPrEx/>
        <w:trPr>
          <w:gridAfter w:val="2"/>
          <w:trHeight w:val="300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27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консолидированного отчета о прибылях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 убытках и прочем совокупном доходе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6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Чистые процентные доходы после расходов по кредитным убыткам,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116 514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99 648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2"/>
            <w:tcW w:w="168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Процентные доходы, млн рублей, в том числе: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848 410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697 415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1.1.1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финансовые инструменты, оцениваемые через прибыль или убыток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51 445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39 715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51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1.1.2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кредиты и авансы, оцениваемые по амортизированной стоимости, в том числе: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690 999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540 912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142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   кредиты и авансы юридическим лицам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593 533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455 122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   кредиты и авансы физическим лицам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97 466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85 790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1.1.3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прочие финансовые инструменты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105 966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116 788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Процентные расходы, млн руб., в том числе: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(687 272)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(553 260)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1.2.1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срочные депозиты, в том числе: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(538 509)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(425 705)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    срочные депозиты юридических лиц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(247 567)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(247 141)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     срочные вклады физических лиц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(290 942)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(178 564)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1.2.2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выпущенные ценные бумаги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(23 331)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(21 389)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1.2.3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субординированные обязательства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(8 201)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(12 270)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1.2.4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прочие процентные расходы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(117 231)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(93 896)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4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Расходы по кредитным убыткам,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(31 637)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(32 976)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Расходы, непосредственно связанные со страхованием вкладов,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(12 987)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(11 531)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Чистая процентная маржа (NIM), %.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Чистые комиссионные доходы,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22 296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22 318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комиссионные доходы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26 568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25 768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3.2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комиссионные расходы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(4 272)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(3 450)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Операционные доходы,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168 016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136 593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Коэффициент отношения затрат к доходу (CIR),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50,1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51,6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Чистая прибыль за период,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50 127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39 825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Рентабельность капитала (ROE),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14,5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13,2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04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Стоимость риска (COR),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0,8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1"/>
          <w:trHeight w:val="25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Доля неработающих кредитов в кредитном портфеле,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2,8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3,3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gridAfter w:val="2"/>
          <w:trHeight w:val="300"/>
        </w:trPr>
        <w:tc>
          <w:tcPr>
            <w:gridSpan w:val="4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собственных средств (капитала) и обязательных нормативов достаточности капитала Группы*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r>
          </w:p>
        </w:tc>
      </w:tr>
      <w:tr>
        <w:tblPrEx/>
        <w:trPr>
          <w:gridAfter w:val="2"/>
          <w:trHeight w:val="3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Собственные средства (капитал), млн рублей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568 348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  550 039 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6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Норматив достаточности собственных средств (капитала),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12,3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12,3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6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Норматив достаточности базового капитала банка,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7,5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6,6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gridAfter w:val="2"/>
          <w:trHeight w:val="600"/>
        </w:trPr>
        <w:tc>
          <w:tcPr>
            <w:shd w:val="clear" w:color="ffffff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0" w:type="dxa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Норматив достаточности основного капитала, %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8,7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19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  <w:t xml:space="preserve">7,9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*Заполнено по данным отчетной формы 0409805 без учета СПОД (событий после отчетной даты).</w:t>
      </w:r>
      <w:r>
        <w:rPr>
          <w:rFonts w:ascii="Times New Roman" w:hAnsi="Times New Roman" w:cs="Times New Roman"/>
          <w:color w:val="000000"/>
          <w:sz w:val="20"/>
          <w:szCs w:val="20"/>
        </w:rPr>
      </w:r>
      <w:r>
        <w:rPr>
          <w:rFonts w:ascii="Times New Roman" w:hAnsi="Times New Roman" w:cs="Times New Roman"/>
          <w:color w:val="000000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1.4.4. Иные финансовые показатели, в том числе характеризующие финансовые результаты деятельности эмитента (г</w:t>
      </w:r>
      <w:r>
        <w:rPr>
          <w:rFonts w:ascii="Times New Roman" w:hAnsi="Times New Roman" w:cs="Times New Roman"/>
          <w:b/>
          <w:sz w:val="24"/>
          <w:szCs w:val="24"/>
        </w:rPr>
        <w:t xml:space="preserve">руппы эмитента) в отношении выделяемых сегментов операционной деятельности, видов товаров (работ, услуг), контрагентов (включая связанные стороны), географии ведения бизнеса, иных аспектов, характеризующих специфику деятельности эмитента (группы эмитента).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Иных финансовых показателей, в том числе характеризующие финансовые результаты деятельности эмитента (группы</w:t>
      </w:r>
      <w:r>
        <w:rPr>
          <w:rFonts w:ascii="Times New Roman" w:hAnsi="Times New Roman" w:cs="Times New Roman"/>
          <w:sz w:val="24"/>
          <w:szCs w:val="24"/>
        </w:rPr>
        <w:t xml:space="preserve"> эмитента) в отношении выделяемых сегментов операционной деятельности, видов товаров (работ, услуг), контрагентов (включая связанные стороны), географии ведения бизнеса, иных аспектов, характеризующих специфику деятельности эмитента (группы эмитента), нет.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1.4.5. Анализ динамики изменения финансовых показателей, приведенных в подпункте 1.4.3 настоящего пункта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Процентные доходы в 2025 году составили 848 410 млн рублей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 значительно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 на 150 995 млн рублей (+21,65%), выр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осли по сравнению с 2024 годом. Основной рост процентных доходов связан с увеличением кредитного портфеля и процентного дохода по кредитному портфелю на 150 087 млн рублей (+27,75%) по сравнению с аналогичными показателями за 2024 год. Процентные расходы в</w:t>
      </w:r>
      <w:bookmarkStart w:id="8" w:name="_GoBack"/>
      <w:r/>
      <w:bookmarkEnd w:id="8"/>
      <w:r>
        <w:rPr>
          <w:rFonts w:ascii="Times New Roman" w:hAnsi="Times New Roman" w:cs="Times New Roman"/>
          <w:sz w:val="24"/>
          <w:szCs w:val="24"/>
          <w:highlight w:val="white"/>
        </w:rPr>
        <w:t xml:space="preserve"> 2025 году значительно, на 134 012 млн рублей (+24,22%), выросли по сравнению с 2024 годом и составили 687 272 млн рублей. Значительный рост процентных расходов связан с увеличением процентных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расходов по срочным депозитам юридических и физических лиц на 112 804 млн рублей (+26,50%) и прочих процентных расходов на 23 335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млн рублей (+24,85%). 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Расходы по кредитным убыткам по итогам 2025 года незначительно, на 1 339 млн рублей (-4,06%), сократились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  по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сравнению с аналогичным показателем по итогам 2024 года и составили 31 637 млн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Чистые процентные доходы после создания резерва под кредитные убытки в 2025 году увеличились на 16 866 млн рублей (+16,93%) по сравнению с данными за 2024 год.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состоянию на 01.01.2026 чистая процентная маржа (NIM) составила 2,7% и не претерпела изменений по сравнению со значением показателя на 01.01.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2025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Чистые комиссионные доходы в отчетном году практически не изменились и составили 22 296 млн рублей, что на 0,10% меньше аналогичного показателя за 2024 год. 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Операционные доходы в 2025 году выросли на 31 423 млн рублей (+23,00%), по сравнению с 2024 годом и составили 168 016 млн рублей.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Чистая прибыль за 2025 год увеличилась на 10 302 млн рублей (+25,87%) и составила 50 127 млн рублей против 39 825 млн рублей за 2024 год. Рост чистой прибыли обусловлен ростом чистых процентных доходов.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Собственные средства (капитал) Группы на 01.01.2026 года, рассчитанные в соответствии с </w:t>
      </w:r>
      <w:hyperlink r:id="rId13" w:tooltip="consultantplus://offline/ref=9AEDFF8C039E75E3A7B5597AC488A1B40066042602BCD306C6C282F52CB5F75EFD3A0BF9C666364553D38E8EF3TDC6J" w:history="1">
        <w:r>
          <w:rPr>
            <w:rFonts w:ascii="Times New Roman" w:hAnsi="Times New Roman" w:cs="Times New Roman"/>
            <w:sz w:val="24"/>
            <w:szCs w:val="24"/>
            <w:highlight w:val="white"/>
          </w:rPr>
          <w:t xml:space="preserve">Положением</w:t>
        </w:r>
      </w:hyperlink>
      <w:r>
        <w:rPr>
          <w:rFonts w:ascii="Times New Roman" w:hAnsi="Times New Roman" w:cs="Times New Roman"/>
          <w:sz w:val="24"/>
          <w:szCs w:val="24"/>
          <w:highlight w:val="white"/>
        </w:rPr>
        <w:t xml:space="preserve"> Банка России от 15.07.2020 года № 729-П «О методике определения собственных средств (капитала) и обязательных нормативов, надбавок к нормативам достаточности капитала, числовых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значениях обязательных нормативов и размерах (лимитах) открытых валютных позиций банковских групп» незначительно, на           18 309 млн рублей (-3,33%), увеличились по сравнению с аналогичным показателем на 01.01.2025 года и составили 568 348 млн рублей.</w:t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ff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Рентабельность капитала (ROE) на 01.01.2026 составила 14,5% и по сравнению с данными на 01.01.2025 увеличилась на 130 базисных пунктов, что связанно с ростом чистой прибыли в отчетном периоде.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  <w:highlight w:val="green"/>
        </w:rPr>
      </w:pP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green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green"/>
        </w:rPr>
      </w:r>
      <w:r>
        <w:rPr>
          <w:rFonts w:ascii="Times New Roman" w:hAnsi="Times New Roman" w:cs="Times New Roman"/>
          <w:b/>
          <w:i/>
          <w:color w:val="ff0000"/>
          <w:sz w:val="24"/>
          <w:szCs w:val="24"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Основные события и факторы, в том числе макроэкономические, произошедшие в отчетном периоде, которые оказали существенное влияние на изменение приведенных финансовых показателей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>
        <w:rPr>
          <w:rFonts w:ascii="Times New Roman" w:hAnsi="Times New Roman" w:cs="Times New Roman"/>
          <w:i/>
          <w:sz w:val="24"/>
          <w:szCs w:val="24"/>
        </w:rPr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Снижение ключевой ставки с 21 до 16% и доходности размещаемых активов привело к необходимости удешевления привлекаемых клиентских средств. Это стало одним из факторов снижения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LDR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позволив сохранить чистую процентную маржу на уровне 2024 г.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Стабильная процентная маржа, рост кредитного портфеля и снижение </w:t>
      </w:r>
      <w:r>
        <w:rPr>
          <w:rFonts w:ascii="Times New Roman" w:hAnsi="Times New Roman" w:cs="Times New Roman"/>
          <w:sz w:val="24"/>
          <w:szCs w:val="24"/>
          <w:highlight w:val="white"/>
          <w:lang w:val="en-US"/>
        </w:rPr>
        <w:t xml:space="preserve">LDR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позволило заметно нарастить чистый процентный доход Банка. Сохранение фокуса на качество портфеля обеспечило сохранение стоимости риска и расходов по кредитным убыткам вблизи уровня 2024 г., несмотря ухудшение ситуации по банковской системе в целом.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Увеличению прибыли, рентабельности капитала и активов, также способствовали доходы от операций с финансовыми инструментами и валютой, а также снижение коэффициента затрат </w:t>
      </w:r>
      <w:r>
        <w:rPr>
          <w:rFonts w:ascii="Times New Roman" w:hAnsi="Times New Roman" w:cs="Times New Roman"/>
          <w:sz w:val="24"/>
          <w:szCs w:val="24"/>
          <w:highlight w:val="white"/>
          <w:lang w:val="en-US"/>
        </w:rPr>
        <w:t xml:space="preserve">CIR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Поскольку Банк не имеет подконтрольных организаций, имеющих для него существенное значение, информация по п. 1.5, 1.6, 1.7.1 - 1.7.3 раскрывается в отношении Банка на основе бухгалтерской (финансовой) отчетности за 2025 год.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1.5. Сведения об основных поставщиках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540"/>
        <w:jc w:val="both"/>
        <w:spacing w:after="0" w:line="288" w:lineRule="atLeast"/>
        <w:rPr>
          <w:rFonts w:ascii="Times New Roman" w:hAnsi="Times New Roman" w:cs="Times New Roman"/>
          <w:b/>
          <w:bCs/>
          <w:i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Сведения об основных поставщиках Эмитента, объем и (или) доля поставок которых в 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бъеме поставок сырья и товаров (работ, услуг) имеет существенное значение на 01.01.2026, а также иные поставщики, поставки которых, по мнению эмитента, имеют для эмитента существенное значение в силу иных причин, факторов или обстоятельств: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540"/>
        <w:jc w:val="both"/>
        <w:spacing w:after="0" w:line="288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40"/>
        <w:jc w:val="both"/>
        <w:spacing w:after="0" w:line="17" w:lineRule="atLeast"/>
        <w:rPr>
          <w:rFonts w:ascii="Times New Roman" w:hAnsi="Times New Roman" w:eastAsia="Times New Roman" w:cs="Times New Roman"/>
          <w:color w:val="000000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Определенный Эмитентом уровень (количественный критерий) существенности объема и (или) доли поставок основного поставщика, составляет 10 процентов от общего объема поставок сырья и товаров (работ, услуг).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ind w:firstLine="540"/>
        <w:jc w:val="both"/>
        <w:spacing w:after="0" w:line="17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after="0" w:line="17" w:lineRule="atLeast"/>
        <w:rPr>
          <w:rFonts w:ascii="Times New Roman" w:hAnsi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szCs w:val="24"/>
        </w:rPr>
        <w:t xml:space="preserve">Поставщики, объем и (или) доля поставок которых в объеме поставок сырья и товаров (работ, услуг) превышает 10 процентов от общего объема, имеющие существенное значение для Эмитента, отсутствуют.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ные поставщики, поставки которых, по мнению эмитента, имеют для Эмитента существенное значение в силу иных причин, факторов или обстоятельств отсутствуют.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1.6. Сведения об основных дебиторах эмитента 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Сведения об основных дебиторах эмитента, доля з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адолженности которых в объеме дебиторской задолженности на 01.01.2026 имеет для эмитента существенное значение, а также об иных дебиторах, которые, по мнению эмитента, имеют для эмитента существенное значение в силу иных причин, факторов или обстоятельств:</w:t>
      </w:r>
      <w:r>
        <w:rPr>
          <w:rFonts w:ascii="Times New Roman" w:hAnsi="Times New Roman" w:cs="Times New Roman"/>
          <w:b/>
          <w:i/>
        </w:rPr>
      </w:r>
      <w:r>
        <w:rPr>
          <w:rFonts w:ascii="Times New Roman" w:hAnsi="Times New Roman" w:cs="Times New Roman"/>
          <w:b/>
          <w:i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Определенный Эмитентом уровень существенности дебиторской задолженности, приходящейся на долю основного дебитора, составляет 10 процентов от общей суммы дебиторской задолженности на дату окончания соответствующего отчетного периода.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Дебитор</w:t>
      </w:r>
      <w:r>
        <w:rPr>
          <w:rFonts w:ascii="Times New Roman" w:hAnsi="Times New Roman" w:cs="Times New Roman"/>
          <w:sz w:val="24"/>
          <w:szCs w:val="24"/>
        </w:rPr>
        <w:t xml:space="preserve">ы, требования к которым превышают 10 процентов от общей суммы дебиторской задолженности, имеющие существенное значение для Эмитента, отсутствуют. Иные дебиторы, которые имеют существенное значение в силу иных причин, факторов или обстоятельств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1.7. Сведения об обязательствах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1.7.1. Сведения об основных кредиторах эмитента 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540"/>
        <w:jc w:val="both"/>
        <w:spacing w:after="0" w:line="288" w:lineRule="atLeast"/>
        <w:rPr>
          <w:rFonts w:ascii="Times New Roman" w:hAnsi="Times New Roman" w:cs="Times New Roman"/>
          <w:b/>
          <w:bCs/>
          <w:i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Сведения об осн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овных кредиторах эмитента, доля задолженности которым в объеме кредиторской задолженности эмитента (включая торговую кредиторскую задолженность, прочую кредиторскую задолженность, кредиты и займы (краткосрочные, долгосрочные) на 01.01.2026 имеет существенн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ое значение, а также об иных кредиторах, которые, по мнению эмитента, имеют для эмитента существенное значение в силу иных причин, факторов или обстоятельств: </w:t>
      </w:r>
      <w:r>
        <w:rPr>
          <w:rFonts w:ascii="Times New Roman" w:hAnsi="Times New Roman" w:cs="Times New Roman"/>
          <w:b/>
          <w:bCs/>
          <w:i/>
          <w:szCs w:val="24"/>
        </w:rPr>
      </w:r>
      <w:r>
        <w:rPr>
          <w:rFonts w:ascii="Times New Roman" w:hAnsi="Times New Roman" w:cs="Times New Roman"/>
          <w:b/>
          <w:bCs/>
          <w:i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Определенный Эмитентом уровень существенности кредиторской задолженности, приходящейся на долю основного кредитора составляет 10 процентов от общей суммы кредиторской задолженности на дату окончания соответствующего отчетного периода.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Кредитор</w:t>
      </w:r>
      <w:r>
        <w:rPr>
          <w:rFonts w:ascii="Times New Roman" w:hAnsi="Times New Roman" w:cs="Times New Roman"/>
          <w:sz w:val="24"/>
          <w:szCs w:val="24"/>
        </w:rPr>
        <w:t xml:space="preserve">ы, требования которых превышают 10 процентов от общей суммы кредиторской задолженности, имеющие существенное значение для Эмитента, отсутствуют. Иные кредиторы, которые имеют существенное значение в силу иных причин, факторов или обстоятельств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/>
      <w:bookmarkStart w:id="10" w:name="Par154"/>
      <w:r/>
      <w:bookmarkEnd w:id="10"/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1.7.2. Сведения об обязательствах эмитента из предоставленного обеспечения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Сведения о размере обеспечения (в том числе в форме залога, поручительства, независимой гарантии), предоставленного эмитентом: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Style w:val="1107"/>
        <w:tblW w:w="8428" w:type="dxa"/>
        <w:jc w:val="center"/>
        <w:tblLook w:val="04A0" w:firstRow="1" w:lastRow="0" w:firstColumn="1" w:lastColumn="0" w:noHBand="0" w:noVBand="1"/>
      </w:tblPr>
      <w:tblGrid>
        <w:gridCol w:w="562"/>
        <w:gridCol w:w="5995"/>
        <w:gridCol w:w="1871"/>
      </w:tblGrid>
      <w:tr>
        <w:tblPrEx/>
        <w:trPr>
          <w:jc w:val="center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5995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показателя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87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показателя,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млн рублей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8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01.01.2026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224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Общий размер предоставленного эмитентом обеспечения, в том числе в форме залога, поручительства, независимой гарантии*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71 445,6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аккредитивы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56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99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гарантии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87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71 445,6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color w:val="000000"/>
          <w:sz w:val="20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4"/>
        </w:rPr>
        <w:t xml:space="preserve">* </w:t>
      </w:r>
      <w:r>
        <w:rPr>
          <w:rFonts w:ascii="Times New Roman" w:hAnsi="Times New Roman" w:cs="Times New Roman"/>
          <w:color w:val="000000"/>
          <w:sz w:val="20"/>
          <w:szCs w:val="24"/>
        </w:rPr>
        <w:t xml:space="preserve">кроме банков - кредитных организаций и ФЛ</w:t>
      </w:r>
      <w:r>
        <w:rPr>
          <w:rFonts w:ascii="Times New Roman" w:hAnsi="Times New Roman" w:cs="Times New Roman"/>
          <w:color w:val="000000"/>
          <w:sz w:val="20"/>
          <w:szCs w:val="24"/>
        </w:rPr>
      </w:r>
      <w:r>
        <w:rPr>
          <w:rFonts w:ascii="Times New Roman" w:hAnsi="Times New Roman" w:cs="Times New Roman"/>
          <w:color w:val="000000"/>
          <w:sz w:val="20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Совершенных эмитентом сделки по предоставлению такого обеспечения, имеющие для эмитента существенное значение: </w:t>
      </w:r>
      <w:r>
        <w:rPr>
          <w:rFonts w:ascii="Times New Roman" w:hAnsi="Times New Roman" w:cs="Times New Roman"/>
          <w:sz w:val="24"/>
          <w:szCs w:val="24"/>
        </w:rPr>
        <w:t xml:space="preserve">Сделки по предоставлению обеспечения, имеющие существенное для Эмитента значение,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Информация предоставлена на основе бухгалтерской (финансовой) отчетности Эмитента, так как прочие организации группы эмитента не предоставляют обеспечение по обязательствам третьих лиц.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11" w:name="Par209"/>
      <w:r/>
      <w:bookmarkEnd w:id="11"/>
      <w:r>
        <w:rPr>
          <w:rFonts w:ascii="Times New Roman" w:hAnsi="Times New Roman" w:cs="Times New Roman"/>
          <w:b/>
          <w:sz w:val="24"/>
          <w:szCs w:val="24"/>
        </w:rPr>
        <w:t xml:space="preserve">1.7.3. Сведения о прочих существенных обязательствах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Любые обязательства, которые, по мнению эмитента, могут существенным образом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воздействовать на финансовое положение эмитента, в том числе на ликвидность, источники финансирования и условия их использования, результаты деятельности и расходы, с описанием факторов, при которых указанные обязательства могут повлечь такое воздействие: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Определенный Эмитентом уровень существенности прочих обязательств составляет 10 процентов от совокупной величины всех обязательств Банка на дату окончания соответствующего отчетного периода.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Прочие обязательства, </w:t>
      </w:r>
      <w:r>
        <w:rPr>
          <w:rFonts w:ascii="Times New Roman" w:hAnsi="Times New Roman" w:cs="Times New Roman"/>
          <w:sz w:val="24"/>
          <w:szCs w:val="24"/>
        </w:rPr>
        <w:t xml:space="preserve">в том числе в части привлеченных средств клиентов, которые составляют 10 и более процентов от совокупной величины всех обязательств Банка, которые, по мнению Эмитента, могут существенным образом воздействовать на финансовое положение Эмитента,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12" w:name="Par212"/>
      <w:r/>
      <w:bookmarkEnd w:id="12"/>
      <w:r>
        <w:rPr>
          <w:rFonts w:ascii="Times New Roman" w:hAnsi="Times New Roman" w:cs="Times New Roman"/>
          <w:b/>
          <w:sz w:val="24"/>
          <w:szCs w:val="24"/>
        </w:rPr>
        <w:t xml:space="preserve">1.8. Сведения о перспективах развития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Стратегия дальнейшего развития эмитента (группы эмитента) не менее чем на год: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cyan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Наблюдательным советом Банка 05.03.2026 утверждена Стратегия развития             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до 2030 года. Банк в новом стратегическом цикле сохранит преемственность целям, связанным с поддержкой агропромышл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енного комплекса, ростом операционной эффективности и финансовой устойчивости в условиях ужесточения регуляторных требований и необходимости консолидации прибыли для роста капитала. Банк продолжит повышать эффективность региональной сети при сохранении 100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% охвата сельских территорий, осуществляя переход на целевые форматы обслуживания клиентов и оптимизацию функций поддержки бизнеса. Реализация запланированных задач позволит повысить инвестиционную привлекательность Банка для успешного IPO после 2030 года.</w:t>
      </w:r>
      <w:r>
        <w:rPr>
          <w:rFonts w:ascii="Times New Roman" w:hAnsi="Times New Roman" w:cs="Times New Roman"/>
          <w:sz w:val="24"/>
          <w:szCs w:val="24"/>
          <w:highlight w:val="cyan"/>
        </w:rPr>
      </w:r>
      <w:r>
        <w:rPr>
          <w:rFonts w:ascii="Times New Roman" w:hAnsi="Times New Roman" w:cs="Times New Roman"/>
          <w:sz w:val="24"/>
          <w:szCs w:val="24"/>
          <w:highlight w:val="cya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Целевой облик Банка к 2030 году определяется следующими стратегическими целями.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Цель №1. Комплексная поддержка реализации стратегических задач АПК: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- опорный банк для АПК и приоритетных отраслей российской экономик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и. Банк активно способствует трансформации АПК и является важным инструментом реализации государственной политики, играя ключевую роль в фундаментальном развитии АПК и сельских территорий (в том числе обеспечивая выполнение требований Банка России и Рабоче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й группы Банка России по повышению финансовой доступности на отдаленных, малонаселенных и труднодоступных территориях). Банк выходит за рамки оказания традиционных финансовых услуг, предлагая уникальные нефинансовые механизмы комплексной поддержки АПК и се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льских территорий в рамках стратегической концепции «Больше, чем Банк». РСХБ создает условия для развития бизнеса, способствует формированию комфортного жизненного пространства для всей отрасли АПК, продвижению фермерства и повышению качества жизни на селе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Цель №2. Обеспечение финансовой эффективности Банка при исполнении всех требований регулятора: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РСХБ обеспечивает стабильно высокую операционную эффективность и финансовую устойчивость с соблюдением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ужесточающихся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требований регулятора за счет опоры на диверсифицированные источники доходов, ресурсов и качественный кредитный портфель.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Банк развивае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 продукты расчетно-кассового обслуживания юридических лиц и продукты комплексного обслуживания физических лиц, что позволит повысить клиентскую вовлеченность, нарастить непроцентные источники доходов, а также достичь структурного улучшения ресурсной базы.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Цель №3. Развитие конкурентной цифровой инфраструктуры и команды: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Банк развивает инструменты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цифровизации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в том числе наращивает предложения услуг в цифровых каналах без необходимости посещения офиса, внедряет цифровые сервисы (в том числе с использованием ИИ). Развитие цифровых решений позволит Банку улучшать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качество сервиса и повышать клиентскую лояльность. Реализации задач будет способствовать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высокорезультативная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команда профессионалов.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green"/>
        </w:rPr>
      </w:pP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  <w:r>
        <w:rPr>
          <w:rFonts w:ascii="Times New Roman" w:hAnsi="Times New Roman" w:cs="Times New Roman"/>
          <w:sz w:val="24"/>
          <w:szCs w:val="24"/>
          <w:highlight w:val="green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1.9. Сведения о рисках, связанных с деятельностью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был создан для осуществления государственной политики по предоставлению</w:t>
      </w:r>
      <w:r>
        <w:rPr>
          <w:rFonts w:ascii="Times New Roman" w:hAnsi="Times New Roman" w:cs="Times New Roman"/>
          <w:sz w:val="24"/>
          <w:szCs w:val="24"/>
        </w:rPr>
        <w:t xml:space="preserve"> кредитов и других банковских услуг аграрному сектору, поэтому его кредитный портфель характеризуется высокой степенью концентрации в данной отрасли. Фокус на предоставление банковских услуг сельскохозяйственным товаропроизводителям не позволяет полностью </w:t>
      </w:r>
      <w:r>
        <w:rPr>
          <w:rFonts w:ascii="Times New Roman" w:hAnsi="Times New Roman" w:cs="Times New Roman"/>
          <w:sz w:val="24"/>
          <w:szCs w:val="24"/>
        </w:rPr>
        <w:t xml:space="preserve">диверсифицировать кредитный портфель с целью минимизации рисков. В результате высокой доли кредитов, выданных предприятиям аграрного сектора, финансовые результаты Банка могут значительно зависеть от сезонных и циклических изменений в сельскохозяйственном </w:t>
      </w:r>
      <w:r>
        <w:rPr>
          <w:rFonts w:ascii="Times New Roman" w:hAnsi="Times New Roman" w:cs="Times New Roman"/>
          <w:sz w:val="24"/>
          <w:szCs w:val="24"/>
        </w:rPr>
        <w:t xml:space="preserve">секторе, снижения цен на продовольствие товары или увеличения издержек производства. Кроме того, суровые погодные условия, стихийные бедствия и другие неблагоприятные события могут оказать существенное влияние на способность заемщиков обслуживать кредиты.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 Банковские риски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Функционирование системы управления рисками в Группе основывается на следующих внутренних документах: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4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Стратегия управления рисками и капиталом Группы АО «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», которая определяет основные принципы организации в Группе системы управления рисками.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4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Политика управления рисками Группы АО «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», которая детализирует основные принципы организации системы управления рисками в Группе;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системе управления рисками выделяются следующие риски: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1.9.1.1. Кредитный риск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управляет кредитным риском – риском возникновения потерь (убытков) вследствие неисполнения, несвоевременного либо неполного исполнения контрагентом и/или третьей стороной по договору финансовых обязательств в соответствии с условиями договора (в </w:t>
      </w:r>
      <w:r>
        <w:rPr>
          <w:rFonts w:ascii="Times New Roman" w:hAnsi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cs="Times New Roman"/>
          <w:sz w:val="24"/>
          <w:szCs w:val="24"/>
        </w:rPr>
        <w:t xml:space="preserve">. по операциям на финансовых рынках).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кредитного риска Группа включает: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кредитный риск контрагента – риск дефолта контрагента до завершения расчетов по операциям с производными финансовыми инструментами, сделкам РЕПО и аналогичным сделкам;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остаточный кредитный риск – может выражаться в невозможности реализовать принятое обеспечение, отказе или отсрочке платежа по независимым гарантиям, а также в использовании документов, составленных ненадлежащим образом;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риск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секъюритизации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кредитный риск, возникающий по сделкам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секьюритизации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 которых Группа (Участники Группы) является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оригинатором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(инициатором), спонсором или инвестором.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К ключевым методам оценки кредитного риска, применяемых в Группе, относится методология определения вероятности неисполнения клиентом своих обязательств перед Банком / компаниями Группы по результатам анализа финансовой информации и финансовых ф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акторов, и нефинансовых, транзакционных факторов, предупреждающих сигналов, влияния группы связанных компаний и ручной (экспертной) корректировки рейтинга. При этом уровень рейтинга заемщика учитывается при определении стоимостных условий кредитных сделок.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Для целей синхронизации подходов (методов)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рейтингования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и кредитного анализа в компаниях Группы используется следующее: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установление единой Мастер-шкалы рейтингов, в том числе схемы сопоставления внутреннего рейтинга и оценки вероятности выхода в дефолт;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установление единого порядка применения методик управления рисками и моделей количественной оценки рисков, в том числе моделей ПВР</w:t>
      </w:r>
      <w:r>
        <w:rPr>
          <w:rStyle w:val="1118"/>
          <w:rFonts w:ascii="Times New Roman" w:hAnsi="Times New Roman" w:cs="Times New Roman"/>
          <w:sz w:val="24"/>
          <w:szCs w:val="24"/>
          <w:lang w:val="ru-RU"/>
        </w:rPr>
        <w:footnoteReference w:id="3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методология в части подходов к оценке кредитного риска.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управления кредитным риском Группа: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принимает кредитный риск с учетом оценки структуры сделки и всей доступной информации о кредитном качестве контрагента / группы контрагентов;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использует инструменты, снижающие кредитный риск (в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т.ч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принятие ликвидного обеспечения, поручительств и гарантий), и ценообразование с учетом принимаемого кредитного риска;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устанавливает лимиты кредитного риска на отдельных контрагентов и группы контрагентов, объединенных по наличию экономической и/или юридической связи;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постоянной основе проводит мониторинг уровня принятого кредитного риска и кредитного риска контрагента.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</w:t>
      </w:r>
      <w:r>
        <w:rPr>
          <w:rFonts w:ascii="Times New Roman" w:hAnsi="Times New Roman" w:cs="Times New Roman"/>
          <w:sz w:val="24"/>
          <w:szCs w:val="24"/>
        </w:rPr>
        <w:t xml:space="preserve">ление кредитным риском в Группе осуществляется Правлением, Комитетом по управлению рисками, кредитными комитетами Банка, Комитетом по работе с проблемной задолженностью, а также отдельными должностными лицами в рамках предоставленных им полномочий. Оценка </w:t>
      </w:r>
      <w:r>
        <w:rPr>
          <w:rFonts w:ascii="Times New Roman" w:hAnsi="Times New Roman" w:cs="Times New Roman"/>
          <w:sz w:val="24"/>
          <w:szCs w:val="24"/>
        </w:rPr>
        <w:t xml:space="preserve">кредитных рисков, независимая от бизнес-подразделений, проводится профильными подразделениями по управлению рисками (Департаментом рисков, службами оценки и контроля рисков региональных филиалов Банка, Службами управления рисками прочих участников Группы).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Уполномоченными органами Банка утверждены внутренние документы, которые содержат формализованное описание процедур и методик оценки кредитных рисков и определяют порядок предоставления и сопровождения кредитных продуктов.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 принимает риск кредитной концентрации в связи с кредитованием профильного клиентского сегмента (предприятий АПК и смежных отраслей экономики) и управляет им посредством следующих инструментов: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кредитование полного цикла производства и реализации сельскохозяйственной продукции (производство, хранение, переработка и сбыт конечному потребителю);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кредитование заемщиков с наличием широкого продуктового портфеля;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диверсификация кредитного портфеля по регионам;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7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диверсификация совокупного кредитного портфеля за счет кредитования иных отраслей экономики.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Кредитный риск признан значимым для Группы.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ind w:left="567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1.9.1.2. Рыночный риск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Рыночный риск – риск возникновения финансовых потерь (убытков) вследствие изменения текущей (справедливой) сто</w:t>
      </w:r>
      <w:r>
        <w:rPr>
          <w:rFonts w:ascii="Times New Roman" w:hAnsi="Times New Roman" w:cs="Times New Roman"/>
          <w:sz w:val="24"/>
          <w:szCs w:val="24"/>
        </w:rPr>
        <w:t xml:space="preserve">имости долевых ценных бумаг (фондовый риск), процентных ставок (процентный риск), а также курсов иностранных валют и/или золота (валютный риск), учетных цен на драгоценные металлы (кроме золота) и/или котировок товарных форвардов/фьючерсов (товарный риск).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управляет рыночным риском с целью сохранения уровня принимаемого риска в рамках установленных ограничений, а также с целью минимизации финансовых потерь при реализации неблагоприятных событий.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анализа и оценки рыночного риска производится его регулярная количественная оценка на основе методологии VAR (</w:t>
      </w:r>
      <w:r>
        <w:rPr>
          <w:rFonts w:ascii="Times New Roman" w:hAnsi="Times New Roman" w:cs="Times New Roman"/>
          <w:sz w:val="24"/>
          <w:szCs w:val="24"/>
        </w:rPr>
        <w:t xml:space="preserve">Value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Risk</w:t>
      </w:r>
      <w:r>
        <w:rPr>
          <w:rFonts w:ascii="Times New Roman" w:hAnsi="Times New Roman" w:cs="Times New Roman"/>
          <w:sz w:val="24"/>
          <w:szCs w:val="24"/>
        </w:rPr>
        <w:t xml:space="preserve">) – статистической оценки максимальных потерь за определенный период времени при заданном уровне вероятности.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управляет рыночным риском путем: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8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установления и контроля структурных и позиционных лимитов, а также лимитов максимально допустимой величины потерь (стоп-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лосс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),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8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диверсификации и хеджирования принимаемых рисков,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8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заблаговременного планирования и подготовки мероприятий, направленных на минимизацию финансовых потерь при возникновении неблагоприятных событий.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 w:eastAsiaTheme="minorEastAsia"/>
        </w:rPr>
      </w:pPr>
      <w:r>
        <w:rPr>
          <w:rFonts w:ascii="Times New Roman" w:hAnsi="Times New Roman" w:cs="Times New Roman"/>
          <w:sz w:val="24"/>
          <w:szCs w:val="24"/>
        </w:rPr>
        <w:t xml:space="preserve">Рыночный риск включает в себя фондовый риск, валютный, товарный и процентный риски.</w:t>
      </w:r>
      <w:r>
        <w:rPr>
          <w:rFonts w:ascii="Times New Roman" w:hAnsi="Times New Roman" w:cs="Times New Roman" w:eastAsiaTheme="minorEastAsia"/>
        </w:rPr>
      </w:r>
      <w:r>
        <w:rPr>
          <w:rFonts w:ascii="Times New Roman" w:hAnsi="Times New Roman" w:cs="Times New Roman" w:eastAsiaTheme="minorEastAsia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Рыночны</w:t>
      </w:r>
      <w:r>
        <w:rPr>
          <w:rFonts w:ascii="Times New Roman" w:hAnsi="Times New Roman" w:cs="Times New Roman"/>
          <w:sz w:val="24"/>
          <w:szCs w:val="24"/>
        </w:rPr>
        <w:t xml:space="preserve">й риск признан значимым для Группы.</w:t>
      </w: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 w:eastAsiaTheme="minorEastAsia"/>
          <w:sz w:val="24"/>
          <w:szCs w:val="24"/>
        </w:rPr>
      </w:pP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  <w:r>
        <w:rPr>
          <w:rFonts w:ascii="Times New Roman" w:hAnsi="Times New Roman" w:cs="Times New Roman" w:eastAsiaTheme="minorEastAsia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1.9.1.3. Процентный риск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Процентный риск – риск ухудшения финансового положения Группы вследствие снижения размера капитала, уровня доходов, стоимости активов в результате изменения процентных ставок на рынке.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Основными источниками процентного риска банковской книги являются: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Риск разрывов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гэп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-риск) – риск, возникающий из-за несовпадения сроков изменения процентных ставок активов, пассивов,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внебалансовых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требований и обязательств Банка.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Базисный риск – риск, возникающий в случае, если процентные ставки по финансовым инструментам одинаковой срочности изменяются в зависимости от различных финансовых индексов. 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Риск кривой доходности – риск изменения наклона и/или формы кривой процентных ставок.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9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Риск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опциональности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риск, проявляющийся при исполнении опционов (как непосредственно заключенных Банком, так и встроенных в банковские продукты), изменяющих величину процентной ставки или сроки исполнения требований/обязательств по операции.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основных методов оценки процентно</w:t>
      </w:r>
      <w:r>
        <w:rPr>
          <w:rFonts w:ascii="Times New Roman" w:hAnsi="Times New Roman" w:cs="Times New Roman"/>
          <w:sz w:val="24"/>
          <w:szCs w:val="24"/>
        </w:rPr>
        <w:t xml:space="preserve">го риска банковской книги используются метод оценки разрывов между активами и обязательствами в различных валютах, чувствительными к изменению уровня процентных ставок (метод оценки разрывов по срокам), метод оценки изменения чистого процентного дохода и м</w:t>
      </w:r>
      <w:r>
        <w:rPr>
          <w:rFonts w:ascii="Times New Roman" w:hAnsi="Times New Roman" w:cs="Times New Roman"/>
          <w:sz w:val="24"/>
          <w:szCs w:val="24"/>
        </w:rPr>
        <w:t xml:space="preserve">етод оценки изменения стоимости экономического капитала при изменении процентных ставок. При этом используется ряд моделируемых допущений для распределения по срокам требований и обязательств без явного срока погашения, а также моделирование поведенческой </w:t>
      </w:r>
      <w:r>
        <w:rPr>
          <w:rFonts w:ascii="Times New Roman" w:hAnsi="Times New Roman" w:cs="Times New Roman"/>
          <w:sz w:val="24"/>
          <w:szCs w:val="24"/>
        </w:rPr>
        <w:t xml:space="preserve">опциональности</w:t>
      </w:r>
      <w:r>
        <w:rPr>
          <w:rFonts w:ascii="Times New Roman" w:hAnsi="Times New Roman" w:cs="Times New Roman"/>
          <w:sz w:val="24"/>
          <w:szCs w:val="24"/>
        </w:rPr>
        <w:t xml:space="preserve"> в части досрочного погашения кредитов физических лиц и досрочного изъятия депозитов.  Оцен</w:t>
      </w:r>
      <w:r>
        <w:rPr>
          <w:rFonts w:ascii="Times New Roman" w:hAnsi="Times New Roman" w:cs="Times New Roman"/>
          <w:sz w:val="24"/>
          <w:szCs w:val="24"/>
        </w:rPr>
        <w:t xml:space="preserve">ка процентного риска осуществляется с учетом действия риск-факторов при различных сценариях, охватывающих стандартные и более неблагоприятные рыночные условия (включая стрессовые ситуации и ситуации системного экономического кризиса, в том числе инфляция).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Группа проводит оценку проц</w:t>
      </w:r>
      <w:r>
        <w:rPr>
          <w:rFonts w:ascii="Times New Roman" w:hAnsi="Times New Roman" w:cs="Times New Roman"/>
          <w:sz w:val="24"/>
          <w:szCs w:val="24"/>
        </w:rPr>
        <w:t xml:space="preserve">ентного риска в разрезе банковской и торговой книг, основных валют и на уровне отдельных операций/сделок путем анализа возможного изменения потока платежей при изменении рыночных условий, финансового состояния и/или действий клиентов и контрагентов Группы.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принимает процентный риск в рамках установленных Правлением лимитов.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процентным риском осуществляется Правлением, Комитетом по управлению рисками, Комитетом по управлению активами и пассивами Банка, и профильными подразделениями Банка в рамках предоставленных им полномочий.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Процентный риск признан значимым для Группы.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1.9.1.4. Риск ликвидности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 потери ликвидности – риск возникновения у Группы потерь (убытков) вследствие неспособности участников Группы обеспечить исполнение своих финансовых обязательств в срок в полном объеме.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подвержена данному риску в связи с ежедневной необходимостью использования имеющихся денежных средств для расчетов по счетам клиентов, при наступлении срока погашения депозитов, выда</w:t>
      </w:r>
      <w:r>
        <w:rPr>
          <w:rFonts w:ascii="Times New Roman" w:hAnsi="Times New Roman" w:cs="Times New Roman"/>
          <w:sz w:val="24"/>
          <w:szCs w:val="24"/>
        </w:rPr>
        <w:t xml:space="preserve">че кредитов (в том числе в случае несвоевременного исполнения финансовых обязательств одним или несколькими контрагентами Банка или возникновения непредвиденной необходимости немедленного и единовременного исполнения Группой своих финансовых обязательств).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риском потери ликвидности в Группе осуществляется решениями органов управления Банка, рабочих коллегиальных органов и отдельных должностных лиц в соответствии с предоставленными им полномочиями.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качестве основных методов анализа и оценки риска потери ликвидности Группа использует: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ежедневный анализ платежной позиции на основе движения денежных средств;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анализ и оценку разрывов в сроках погашения требований и обязательств Банка (ГЭП-анализ); 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анализ и оценку фактических значений и динамики внутренних показателей риска потери ликвидности;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анализ динамики и прогноз обязательных нормативов ликвидности Банка России; 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стресс-тестирование. 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Группа управляет риском потери ликвидности путем: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планирования структуры активов и пассивов;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установления и контроля лимитов и показателей риска потери ликвидности (как внешних, установленных Банком России, так и внутренних, рассчитываемых самим Банком);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формирования запаса ликвидности;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0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заблаговременного планирования и подготовки мероприятий, направленных на поддержание и восстановление ликвидности при возникновении неблагоприятных событий.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Группа поддерживает устойчивую базу финансирования, состоящую преимущественн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 из средств, привлеченных посредством срочных депозитов физических и юридических лиц, размещения облигационных займов, выпуска собственных векселей, увеличения объемов текущих ресурсов Группы в виде роста остатков на счетах клиентов, а также межбанковских</w:t>
      </w:r>
      <w:r>
        <w:rPr>
          <w:rFonts w:ascii="Times New Roman" w:hAnsi="Times New Roman" w:cs="Times New Roman"/>
          <w:sz w:val="24"/>
          <w:szCs w:val="24"/>
        </w:rPr>
        <w:t xml:space="preserve"> заимствований.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 потери ликвидности признан значимым для Группы.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1.9.1.5. Операционный риск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Операционный риск - риск возникновения прямых и непрямых потерь Банка/участника Группы в результате несовершенства или ошибочных внутренних </w:t>
      </w:r>
      <w:r>
        <w:rPr>
          <w:rFonts w:ascii="Times New Roman" w:hAnsi="Times New Roman" w:cs="Times New Roman"/>
          <w:sz w:val="24"/>
          <w:szCs w:val="24"/>
        </w:rPr>
        <w:t xml:space="preserve">процессов  Банка</w:t>
      </w:r>
      <w:r>
        <w:rPr>
          <w:rFonts w:ascii="Times New Roman" w:hAnsi="Times New Roman" w:cs="Times New Roman"/>
          <w:sz w:val="24"/>
          <w:szCs w:val="24"/>
        </w:rPr>
        <w:t xml:space="preserve">/участника Группы, действий персонала Банка/участника Группы и иных лиц, сбоев и недостатков информационных, технологических и иных систем, а также в результате реализации внешних событий.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Управление операционным риском является составной частью общего процесса управления рисками в Группе.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основным целям управления операционным риском в Группе относятся: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выявление, оценка и реагирование на операционный риск, 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т.ч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для предотвращения случаев реализации операционного риска;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снижение потерь от реализации операционного риска;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мониторинг и контроль уровня операционного риска;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реализация мероприятий по поддержанию операционного риска на уровне, не угрожающем финансовой устойчивости участников Группы и интересам клиентов и контрагентов;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соблюдение работниками участников Группы внутренних документов Группы, описывающих систему управления операционного риска.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целей унификации управления операционным риском в Группе выделяются следующие виды ОР: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информационной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безопасности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(в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киберриск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 – риск реализации угроз безопасности информации, которые обусловлены недостатками процессов обеспечения информационной безопасности,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проведения технологических и других мероприятий, недостатками прикладного программного обеспечения автоматизированных систем и приложений, а также несоответствием указанных процессов деятельности Банка/участника Группы;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информационных систем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отказов и (или) нарушения функционирования применяемых Банком/участником Группы информационных систем и (или) несоответствия их функциональных возможностей и характеристик потребностям Банка/участника Группы;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правовой риск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возникновения у Банка/участника Группы убытков вследствие нарушения Банком/участником Группы и (или) его контрагентами условий заключенных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договоров, допускаемых Банком/участником Группы правовых ошибок при осуществлении деятельности (например, неправильные юридические консультации или неверное составление документов, в том числе при рассмотрении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спорных вопросов в судебных органах), несовершенства правовой системы (например, противоречивость законодательства, отсутствие правовых норм по регулированию отдельных вопросов, возникающих в деятельности Банка/участника Группы, нарушения контрагентами нор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мативных правовых актов, нахождения филиалов Банка/участника Группы, юридических лиц, в отношении которых Банк/участник Группы осуществляет контроль или значительное влияние, а также контрагентов Банка/участника Группы под юрисдикцией различных государств;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риск ошибок в управлении проектами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ошибок в управлении проектами, состоящий в недостатках и нарушениях организации процессов управления проектной деятельностью, направленных на изменение систем функционирования и поддержания работоспособности Банка/участника Группы;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ошибок в управленческих процессах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состоящий в недостатках и нарушениях внутренних процессов Банка/участника Группы, недостатках принятия решений по сделкам и операциям, внутрихозяйственной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ошибок в процессах осуществления внутреннего контроля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состоящий в недостатках и нарушениях системы внутреннего контроля Банка/участника Группы,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нарушениях правил внутреннего контроля в целях противодействия легализации (отмыванию) доходов, полученных преступным путем, и финансированию терроризма, нарушениях внутренних правил совершения операций и сделок;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модельный риск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ошибок процессов разработки, проверки, адаптации, приемки, применения методик количественных и качественных моделей оценки активов, рисков и иных показателей, используемых в принятии управленческих решений Банка/участника Группы;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риск недобросовестного поведения -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риск нарушения прав и законных интересов и (или) возникновения потерь средств клиентов, контрагентов, работников и третьих лиц вследствие недобросовестного поведения (неправомер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ных действий или бездействия) со стороны Банка/участника Группы, включая нарушение Банка/участника Группы законодательства Российской Федерации, в том числе нормативных актов Банка России, в области защиты прав потребителей, антимонопольного законодательст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ва Российской Федерации, кодексов профессиональной этики, рыночных практик, правил поведения и стандартов деятельности кредитной организации (головной кредитной организации участника Группы) при предложении финансовых и нефинансовых услуг (работ, товаров);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ошибок процесса управления персоналом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состоящий в недостатках и нарушениях внутренних процессов Банка/участника Группы в управлении персоналом,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 при подборе, найме, адаптации, увольнении, обеспечении безопасности и охраны труда, социальной поддержки, в системе вознаграждения и компенсации;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операционный риск платежной системы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оказания услуг платежной инфраструктуры, не соответствующий требова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ниям к оказанию услуг, вследствие возникновения у субъектов платежной системы сбоев, отказов и аварий в работе информационных и технологических систем, недостатков в организации и выполнении технологических и управленческих процессов, ошибок или противопра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вных действий персонала субъектов платежной системы либо вследствие воздействия событий, причины возникновения которых не связаны с деятельностью субъектов платежной системы, включая чрезвычайные ситуации, ошибочные или противоправные действия третьих лиц;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нарушения непрерывности деятельности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н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арушения способности Банка/участника Группы поддерживать операционную устойчивость Банка/участника Группы, включающую обеспечение непрерывности осуществления критически важных процессов и критически важных операций, определенных Банком в соответствии с под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пунктом 4.1.1 пункта 4.1 Положения Банка России от 08.04.2020 № 716-П «О требованиях к системе управления операционным риском в кредитной организации и банковской группе» (, в результате воздействия источников операционных рисков, указанных в пункте 3.3 По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ложения Банка России № 716-П, а также изменений процессов Банка/участника Группы или действий третьих лиц, включая нарушения операционной надежности, требования к которой установлены Банком России в соответствии со статьей 57.5 Федерального закона № 86-ФЗ;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риск аутсорсинга (включая риск аутсорсинга ИС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vertAlign w:val="superscript"/>
        </w:rPr>
        <w:footnoteReference w:id="4"/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)</w:t>
      </w:r>
      <w:r>
        <w:rPr>
          <w:rFonts w:eastAsia="Calibri"/>
          <w:sz w:val="24"/>
          <w:szCs w:val="24"/>
        </w:rPr>
        <w:t xml:space="preserve"> -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риск недостатков организации и (или) осуществления деятельности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Банка/участника Группы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 по передаче своих функций, операций, услуг, процессов и (или) этапов процессов на аутс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орсинг третьим лицам (внешним подрядчикам, контрагентам, участникам Группы), а также невыполнения и (или) неоказания или ненадлежащего выполнения и (или) оказания ими переданных им функций, операций, услуг, процессов и (или) этапов процессов на аутсорсинг;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риск внутренней безопасности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– риск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потерь Банка/участника Группы, связанных с преднамеренными действиями третьих лиц либо работников участника Группы, повлекших за собой причинение ущерба материальным и нематериальным активам или другому имуществу участника Группы (за исключением риска ИБ);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 w:eastAsia="en-US"/>
        </w:rPr>
        <w:t xml:space="preserve">риск экономической безопасности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– риск потерь Банка/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участника Группы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, связанных с противоправными действиями работников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участника Группы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  <w:t xml:space="preserve"> и (или) третьих лиц, связанных с ссудами, по которым возбуждены уголовные дела (за исключением риска ИБ).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val="ru-RU" w:bidi="ru-RU"/>
        </w:rPr>
        <w:t xml:space="preserve">В Группе определены следующие возможные способы реагирования на операционный риск: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уклонение от операционного риска, предусматривающее принятие обоснованного решения об отказе от вида деятельности, оказания соответствующего вида услуг и операций в связи с высоким уровнем операционного риска в них;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принятие операционного риска, предусматривающее обоснованное решение принять возможные потери от операционного риска в рамках установленного лимита потерь с процедурой контроля соблюдения лимита;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передача операционного риска, предусматривающая принятие обоснованного решения о страховании операционного риска, передаче операционного риска другой стороне - контрагенту и (или) клиенту (аутсорсинг);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планирование мероприятий, направленных на уменьшение негативного влияния операционного риска на качество процессов, величины совокупных потерь от реализации операционного риска.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Мероприятия, направленные на предотвращение и (или) снижение вероятности реализации событий операционного риска, а также на ограничение размера потерь вследствие реализации событий операционного риска, включают: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реализацию способов контроля, на этапах процессов, в которых выявлены операционные риски;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изменение процессов и распределение обязанностей для обеспечения исключения конфликта интересов;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документирование результатов выполнения процедур контроля в процессах;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обеспечение контроля совершения операций и сделок;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исключение совершения неконтролируемых операций и сделок;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установление пороговых значений в отношении полномочий принятия решений и определения лимитов операционного риска, контроля за соблюдением полномочий;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реализацию элементов автоматизации участков процессов, при выполнении которых выявлен операционного риска по причине ошибок работников;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разработку модуле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й Плана действий, направленных на обеспечение непрерывности деятельности и (или) восстановление деятельности Банка в случае возникновения нестандартных и чрезвычайных ситуаций критически важных процессов и функционирования ИТ-систем, включая автоматизирова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нные системы, программные и /или программно-аппаратные средства, телекоммуникационное оборудование и линии связи, эксплуатация и использование которых обеспечивается Банком для осуществления процессов и операций, а также планов по обеспечению безопасности </w:t>
      </w: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и целостности информационных систем и информации, с учетом внешних факторов, влияющих на критически важный процесс и /или ИТ-систему, в случаях реализации операционного риска, включая систему быстрого реагирования на реализацию событий операционного риска;</w:t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определение способа и порядка возмещения потерь от реализации событий операционного риска, например, с использованием переноса риска на участников финансового рынка, страхования;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юридическое обеспечение судебных процессов;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юридическое сопровождение процессов, договоров и документации и др.</w:t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1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bidi="ru-RU"/>
        </w:rPr>
        <w:t xml:space="preserve">другие мероприятия, разрабатываемые в зависимости от вида и характеристик процесса, в том числе мероприятия, разрабатываемые в целях управления риском нарушения непрерывности деятельности. </w:t>
      </w:r>
      <w:r>
        <w:rPr>
          <w:rFonts w:ascii="Times New Roman" w:hAnsi="Times New Roman" w:cs="Times New Roman"/>
          <w:bCs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bCs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Полномочия и функции участников системы управления операционным риском закреплены во внутренних документах Банка/участника Группы.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</w:r>
      <w:r>
        <w:rPr>
          <w:rFonts w:ascii="Times New Roman" w:hAnsi="Times New Roman" w:cs="Times New Roman"/>
          <w:bCs/>
          <w:sz w:val="24"/>
          <w:szCs w:val="24"/>
          <w:lang w:val="ru-RU"/>
        </w:rPr>
      </w:r>
    </w:p>
    <w:p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Theme="minorEastAsia"/>
          <w:sz w:val="24"/>
          <w:szCs w:val="24"/>
        </w:rPr>
        <w:t xml:space="preserve">Операционный риск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признан</w:t>
      </w:r>
      <w:r>
        <w:rPr>
          <w:rFonts w:ascii="Times New Roman" w:hAnsi="Times New Roman" w:cs="Times New Roman" w:eastAsiaTheme="minorEastAsia"/>
          <w:sz w:val="24"/>
          <w:szCs w:val="24"/>
        </w:rPr>
        <w:t xml:space="preserve"> значимым для Группы.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1.9.1.6. </w:t>
      </w:r>
      <w:r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  <w:t xml:space="preserve">Риск концентрации</w:t>
      </w:r>
      <w:r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</w:r>
      <w:r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концен</w:t>
      </w: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трации – риск, возникающий в связи с подверженностью участника Группы крупным рискам, реализация которых может привести к значительным убыткам, способным создать угрозу для платежеспособности участника Группы и его способности продолжать свою деятельность.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</w:r>
      <w:r>
        <w:rPr>
          <w:rFonts w:ascii="Times New Roman" w:hAnsi="Times New Roman" w:cs="Times New Roman"/>
          <w:sz w:val="24"/>
          <w:szCs w:val="24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концентрации включает в себя следующие подвиды риска:</w:t>
      </w:r>
      <w:r>
        <w:rPr>
          <w:rFonts w:ascii="Times New Roman" w:hAnsi="Times New Roman" w:cs="Times New Roman"/>
          <w:lang w:val="ru-RU" w:eastAsia="en-US"/>
        </w:rPr>
      </w:r>
      <w:r>
        <w:rPr>
          <w:rFonts w:ascii="Times New Roman" w:hAnsi="Times New Roman" w:cs="Times New Roman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отраслевой концентрации – риск, связанный с концентрацией кредитных требований к контрагентам в одном секторе экономики(отрасли);</w:t>
      </w:r>
      <w:r>
        <w:rPr>
          <w:rFonts w:ascii="Times New Roman" w:hAnsi="Times New Roman" w:cs="Times New Roman"/>
          <w:lang w:val="ru-RU" w:eastAsia="en-US"/>
        </w:rPr>
      </w:r>
      <w:r>
        <w:rPr>
          <w:rFonts w:ascii="Times New Roman" w:hAnsi="Times New Roman" w:cs="Times New Roman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концентрации географической зоны – риск, связанный с концентрацией кредитных требований к контрагентам из одной географической зоны;</w:t>
      </w:r>
      <w:r>
        <w:rPr>
          <w:rFonts w:ascii="Times New Roman" w:hAnsi="Times New Roman" w:cs="Times New Roman"/>
          <w:lang w:val="ru-RU" w:eastAsia="en-US"/>
        </w:rPr>
      </w:r>
      <w:r>
        <w:rPr>
          <w:rFonts w:ascii="Times New Roman" w:hAnsi="Times New Roman" w:cs="Times New Roman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концентрации финансовых инструментов – риск, связанный с концентрацией вложений в финансовые инструменты одного типа;</w:t>
      </w:r>
      <w:r>
        <w:rPr>
          <w:rFonts w:ascii="Times New Roman" w:hAnsi="Times New Roman" w:cs="Times New Roman"/>
          <w:lang w:val="ru-RU" w:eastAsia="en-US"/>
        </w:rPr>
      </w:r>
      <w:r>
        <w:rPr>
          <w:rFonts w:ascii="Times New Roman" w:hAnsi="Times New Roman" w:cs="Times New Roman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риск концентрации источников ликвидности – риск, связанный с зависимостью Группы от отдельных источников ликвидности.</w:t>
      </w:r>
      <w:r>
        <w:rPr>
          <w:rFonts w:ascii="Times New Roman" w:hAnsi="Times New Roman" w:cs="Times New Roman"/>
          <w:sz w:val="24"/>
          <w:szCs w:val="24"/>
          <w:lang w:val="ru-RU" w:eastAsia="en-US"/>
        </w:rPr>
      </w:r>
      <w:r>
        <w:rPr>
          <w:rFonts w:ascii="Times New Roman" w:hAnsi="Times New Roman" w:cs="Times New Roman"/>
          <w:sz w:val="24"/>
          <w:szCs w:val="24"/>
          <w:lang w:val="ru-RU" w:eastAsia="en-US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134" w:leader="none"/>
        </w:tabs>
        <w:rPr>
          <w:rFonts w:ascii="Times New Roman" w:hAnsi="Times New Roman" w:cs="Times New Roman"/>
          <w:lang w:val="ru-RU" w:eastAsia="en-US"/>
        </w:rPr>
      </w:pPr>
      <w:r>
        <w:rPr>
          <w:rFonts w:ascii="Times New Roman" w:hAnsi="Times New Roman" w:cs="Times New Roman"/>
          <w:sz w:val="24"/>
          <w:szCs w:val="24"/>
          <w:lang w:val="ru-RU" w:eastAsia="en-US" w:bidi="ru-RU"/>
        </w:rPr>
        <w:t xml:space="preserve">В рамках управления риском концентрации Группа:</w:t>
      </w:r>
      <w:r>
        <w:rPr>
          <w:rFonts w:ascii="Times New Roman" w:hAnsi="Times New Roman" w:cs="Times New Roman"/>
          <w:lang w:val="ru-RU" w:eastAsia="en-US"/>
        </w:rPr>
      </w:r>
      <w:r>
        <w:rPr>
          <w:rFonts w:ascii="Times New Roman" w:hAnsi="Times New Roman" w:cs="Times New Roman"/>
          <w:lang w:val="ru-RU" w:eastAsia="en-US"/>
        </w:rPr>
      </w:r>
    </w:p>
    <w:p>
      <w:pPr>
        <w:pStyle w:val="1067"/>
        <w:numPr>
          <w:ilvl w:val="0"/>
          <w:numId w:val="12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определяет систему лимитов, ограничивающих объем требований к крупнейшим контрагентам (группам контрагентов) и контрагентам, принадлежащим отдельным отраслям экономики и географическим регионам;</w:t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2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проводит углубленный анализ крупнейших контрагентов и секторов экономики, в отношении которых выявлен риск концентрации;</w:t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2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ограничивает объем вложений в инструменты, стоимость которых зависит от изменений общих факторов риска.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val="ru-RU"/>
        </w:rPr>
        <w:t xml:space="preserve">Риск концентрации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признан</w:t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  <w:t xml:space="preserve"> значимым для Группы.</w:t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1.9.1.7. </w:t>
      </w:r>
      <w:r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  <w:t xml:space="preserve">Комплаенс</w:t>
      </w:r>
      <w:r>
        <w:rPr>
          <w:rFonts w:ascii="Times New Roman" w:hAnsi="Times New Roman" w:cs="Times New Roman" w:eastAsiaTheme="minorHAnsi"/>
          <w:b/>
          <w:sz w:val="24"/>
          <w:szCs w:val="24"/>
          <w:lang w:val="ru-RU" w:eastAsia="en-US"/>
        </w:rPr>
        <w:t xml:space="preserve">-риск (регуляторный риск)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  <w:r>
        <w:rPr>
          <w:rFonts w:ascii="Times New Roman" w:hAnsi="Times New Roman" w:cs="Times New Roman"/>
          <w:b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Комплаенс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-риск (регуляторный риск) – риск возникновения у Группы убытков из-за несоблюдения законодательства Российской Федерации, нормативных актов Банка Ро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ссии, внутренних документов участников Группы, стандартов саморегулируемых организаций (если такие стандарты или правила являются обязательными для участников Группы), а также в результате применения санкций и/или иных мер воздействия со стороны надзорных 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органов.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Целями управления регуляторным риском Группы являются повышение эффективности деятельности 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участников Группы, в первую очередь, в области развития финансово-кредитной системы агропромышленного комплекса Российской Федерации, защита интересов акционеров, кредиторов и вкладчиков участников Группы посредством минимизации регуляторного риска Группы.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Исходя из указанных целей, задачами управления регуляторным риском являются: 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обеспечение соблюдения участников Группы законодательства РФ, нормативных актов Банка России, стандартов СРО (если такие стандарты или правила являются обязательными для участников Группы), внутренних документов участников Группы; 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минимизация риска возникновения у участников Группы убытков из-за несоблюдения законодательства РФ, нормативных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 актов Банка России, внутренних документов участников Группы, стандартов СРО (если такие стандарты или правила являются обязательными для участников Группы), а также в результате применения санкций и (или) иных мер воздействия со стороны надзорных органов.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  <w:t xml:space="preserve">К функциям по управлению регуляторным риском относятся:</w:t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  <w:r>
        <w:rPr>
          <w:rFonts w:ascii="Times New Roman" w:hAnsi="Times New Roman" w:cs="Times New Roman"/>
          <w:color w:val="000000"/>
          <w:sz w:val="24"/>
          <w:szCs w:val="24"/>
          <w:lang w:val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выявление регуляторного риска;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учет событий, связанных с регуляторным риском, определение вероятности их возникновения и количественная оценка возможных последствий;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мониторинг регуляторного риска, в том числе анализ внедряемых участниками Группы новых банковских продуктов, услуг и планируемых методов их реализации на предмет наличия регуляторного риска;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направление рекомендаций по управлению регуляторным риском руководителям структурных подразделений участников Группы и органам управления участников Группы;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координация и участие в разработке комплекса мер, направленных на снижение уровня регуляторного риска в Группе;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мониторинг эффективности управления регуляторным риском;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разработка внутренних документов по управлению регуляторным риском;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информирование работников участников Группы по вопросам, связанным с управлением регуляторным риском;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выявление конфликтов интересов в деятельности участников Группы и работников участников Группы, разработка внутренних документов, направленных на минимизацию конфликта интересов;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анализ показателей динамики жалоб (обращений, заявлений) клиентов и анализ соблюдения участниками Группы прав клиентов;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анализ экономической целесообразности заключения Группой договоров с юридическими лицами и индивидуальными предпринимателями на оказание услуг и (или) выполнение работ, обеспечивающих осуществление участниками Группы банковских операций (аутсорсинг);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разработка внутренних документов, направленных на противодействие коммерческому подкупу и коррупции;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разработка внутренних документов и организация мероприятий, направленных на соблюдение правил корпоративного поведения, норм профессиональной этики;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3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взаимодействие с надзорными органами, саморегулируемыми организациями, ассоциациями и участниками финансовых рынков.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lang w:val="ru-RU"/>
        </w:rPr>
        <w:t xml:space="preserve">Регуляторный риск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признан</w:t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  <w:t xml:space="preserve"> значимым для Группы.</w:t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1.9.1.8. Стратегический риск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Стратегический риск – риск неблагоприятного изменения результатов деятельности Группы вследствие принятия ошибочных решений в процес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се управления Группой, в том числе при разработке, утверждении и реализации стратегий развития Банка и организаций Группы Банка, ненадлежащем исполнении принятых решений, а также неспособности органов управления Группы учитывать изменения внешних факторов.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Управление стратегическим риском является частью системы управления рисками, в рамках которой оцениваются возможности Группы, определяются перспективные направления, новые тенденции, конкурентные преимущества, осуществляется анализ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внешних и внутренни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х факторов, влияющих на деятельность Группы, а также планируются меры по достижению поставленных целей. В Группе функционирует специальное структурное подразделение, осуществляющее разработку и реализацию стратегических планов Группы. В целях минимизации р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иска в Группе выстроена многоуровневая эффективная система стратегического планирования и контроля, позволяющая своевременно реагировать на внешние и внутренние вызовы, принимать необходимые управленческие решения и осуществлять корректирующие мероприятия.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В своей деятельности Банк руководствуется Стратегией развития                                                 АО «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Россельхозбанк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» до 2030 года (далее – Стратегия), утвержденной Наблюдательным советом Банка 05 марта 2026 года, а также утверждает и актуализирует политики, положения, планы мероприятий и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 другие внутренние документы, охватывающие весь спектр перспективных и текущих задач развития Банка в существующей экономической среде. Указанные документы проходят утверждение согласно действующей в Банке процедуре и являются основой для его деятельности.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В рамках управления стратегическим риском Группа: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4"/>
        </w:numPr>
        <w:ind w:lef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 w:eastAsia="ru-RU" w:bidi="ru-RU"/>
        </w:rPr>
        <w:t xml:space="preserve"> проводит анализ конкурентной среды, рынка банковских услуг и перспективных направлений деятельности при формировании стратегии развития Банка;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4"/>
        </w:numPr>
        <w:ind w:lef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 w:eastAsia="ru-RU" w:bidi="ru-RU"/>
        </w:rPr>
        <w:t xml:space="preserve"> проводит мониторинг достаточности ресурсов для достижения поставленных целей и задач;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14"/>
        </w:numPr>
        <w:ind w:left="0" w:firstLine="709"/>
        <w:jc w:val="both"/>
        <w:spacing w:after="0" w:line="240" w:lineRule="auto"/>
        <w:tabs>
          <w:tab w:val="left" w:pos="992" w:leader="none"/>
        </w:tabs>
        <w:rPr>
          <w:rFonts w:ascii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/>
          <w:sz w:val="24"/>
          <w:szCs w:val="24"/>
          <w:highlight w:val="white"/>
          <w:lang w:val="ru-RU" w:eastAsia="ru-RU" w:bidi="ru-RU"/>
        </w:rPr>
        <w:t xml:space="preserve"> осуществляет контроль реализации Стратегии развития Банка (мониторинг исполнения Стратегии на уровне Правления Банка и на уровне Наблюдательного совета).</w:t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Все вышеперечисленное создает необходимые условия для минимизации стратегического риска.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highlight w:val="white"/>
          <w:lang w:val="ru-RU"/>
        </w:rPr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Стратегический риск признан значимым для Группы.</w:t>
      </w:r>
      <w:r>
        <w:rPr>
          <w:rFonts w:ascii="Times New Roman" w:hAnsi="Times New Roman" w:cs="Times New Roman" w:eastAsiaTheme="minorEastAsia"/>
          <w:highlight w:val="white"/>
          <w:lang w:val="ru-RU"/>
        </w:rPr>
      </w:r>
      <w:r>
        <w:rPr>
          <w:rFonts w:ascii="Times New Roman" w:hAnsi="Times New Roman" w:cs="Times New Roman" w:eastAsiaTheme="minorEastAsia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1.9.1.9. Риск </w:t>
      </w:r>
      <w:r>
        <w:rPr>
          <w:rFonts w:ascii="Times New Roman" w:hAnsi="Times New Roman" w:cs="Times New Roman"/>
          <w:b/>
          <w:sz w:val="24"/>
          <w:szCs w:val="24"/>
        </w:rPr>
        <w:t xml:space="preserve">секьюритизации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Риск </w:t>
      </w:r>
      <w:r>
        <w:rPr>
          <w:rFonts w:ascii="Times New Roman" w:hAnsi="Times New Roman" w:cs="Times New Roman"/>
          <w:sz w:val="24"/>
          <w:szCs w:val="24"/>
        </w:rPr>
        <w:t xml:space="preserve">секъюритизации</w:t>
      </w:r>
      <w:r>
        <w:rPr>
          <w:rFonts w:ascii="Times New Roman" w:hAnsi="Times New Roman" w:cs="Times New Roman"/>
          <w:sz w:val="24"/>
          <w:szCs w:val="24"/>
        </w:rPr>
        <w:t xml:space="preserve"> по Группе отсутствует.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1.9.2. </w:t>
      </w:r>
      <w:r>
        <w:rPr>
          <w:rFonts w:ascii="Times New Roman" w:hAnsi="Times New Roman" w:cs="Times New Roman"/>
          <w:b/>
          <w:sz w:val="24"/>
          <w:szCs w:val="24"/>
        </w:rPr>
        <w:t xml:space="preserve">Страновые</w:t>
      </w:r>
      <w:r>
        <w:rPr>
          <w:rFonts w:ascii="Times New Roman" w:hAnsi="Times New Roman" w:cs="Times New Roman"/>
          <w:b/>
          <w:sz w:val="24"/>
          <w:szCs w:val="24"/>
        </w:rPr>
        <w:t xml:space="preserve"> и региональные риски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outlineLvl w:val="2"/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АО «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Россельхозбанк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» как крупная кредитная организация, присутствующая на международных рынках, подвержено влиянию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страновых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 рисков, присущих деятельности его иностранных контрагентов. Принимаемый Банком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страновой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 риск связан с возникновением у Банка убытков в результ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ате неисполнения иностранными контрагентами обязательств из-за экономических, политических, социальных изменений, а также вследствие того, что валюта денежного обязательства может быть недоступна контрагенту из-за изменений в национальном законодательстве.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</w:r>
    </w:p>
    <w:p>
      <w:pPr>
        <w:pStyle w:val="1096"/>
        <w:ind w:right="0" w:firstLine="709"/>
        <w:spacing w:line="240" w:lineRule="auto"/>
        <w:tabs>
          <w:tab w:val="left" w:pos="426" w:leader="none"/>
          <w:tab w:val="left" w:pos="1560" w:leader="none"/>
        </w:tabs>
        <w:rPr>
          <w:lang w:val="ru-RU"/>
        </w:rPr>
        <w:outlineLvl w:val="2"/>
      </w:pP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В рамках управления 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страновым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 риском АО «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Россельхозбанк</w:t>
      </w:r>
      <w:r>
        <w:rPr>
          <w:rFonts w:ascii="Times New Roman" w:hAnsi="Times New Roman" w:cs="Times New Roman" w:eastAsiaTheme="minorEastAsia"/>
          <w:sz w:val="24"/>
          <w:szCs w:val="24"/>
          <w:highlight w:val="white"/>
          <w:lang w:val="ru-RU"/>
        </w:rPr>
        <w:t xml:space="preserve">» осуществляет постоянный мониторинг социально-экономических и политических изменений в странах присутствия контрагентов Банка.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1.9.3. Правовые риски*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Правовой риск – риск возникновения у Банка/участника Группы убытков вследствие нарушени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я Банком/участником Группы и (или) его контрагентами условий заключенных договоров, допускаемых Банком/участником Группы правовых ошибок при осуществлении деятельности (например, неправильные юридические консультации или неверное составление документов, в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т.ч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. п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ри рассмотрении спорных вопросов в судебных органах), несовершенства правовой системы (например, противоречивость законодательства, отсутствие правовых норм по регулированию отдельных вопросов, возникающих в деятельности Банка/участника Группы), нарушения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контрагентами нормативных правовых актов, нахождения филиалов Банка, юридических лиц, в отношении которых Банк/участник Группы осуществляет контроль или значительное влияние, а также контрагентов Банка/участника Группы под юрисдикцией различных государств.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В соответствии с Положением о Правовом департаменте АО «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Россельхозбанк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» от 10.11.2025 данным подразделением обеспечивается соблюдение законодательства Российской Федерации путем выполнения следующих задач: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обеспечение строгого соблюдения за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конности в деятельности Банка, правильного и единообразного применения законодательства Российской Федерации и нормативно-правовых актов государственных органов исполнительной власти и Банка России в части, относящейся к деятельности кредитных организаций;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обеспечение правовой защиты прав и законных интересов Банка, в том числе превентивными мерами правового характера, а также судебными средствами;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разработка и проведение общей правовой политики в Банке, прогнозирование правовой проблематики, разработка и реализация соответствующих предложений;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обеспечение наличия в разрабатываемых подразделениями Банка документах правовых гарантий соблюдения прав и интересов Банка;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проработка правовых моделей новых банковских услуг и коммерческих сделок, обеспечение правовой защиты интересов Банка при разработке и реализации финансовых проектов;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подготовка учредительных документов Банка;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numPr>
          <w:ilvl w:val="0"/>
          <w:numId w:val="15"/>
        </w:numPr>
        <w:ind w:left="0" w:firstLine="36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lang w:val="ru-RU" w:eastAsia="ru-RU" w:bidi="ru-RU"/>
        </w:rPr>
      </w:pP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в случаях и порядке, предусмотренных внутренними документами Банка, согласование проектов документов Банка по различным направлениям деятельности Банка с целью минимизации правового риска Банка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  <w:t xml:space="preserve">.</w:t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  <w:r>
        <w:rPr>
          <w:rFonts w:ascii="Times New Roman" w:hAnsi="Times New Roman" w:cs="Times New Roman"/>
          <w:sz w:val="24"/>
          <w:szCs w:val="24"/>
          <w:lang w:val="ru-RU" w:eastAsia="ru-RU" w:bidi="ru-RU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Правовой департамент в порядке, предусмотренном внутренними документами Банка, осуществляет согласование проектов документов Банка по различным направлениям деятельности с целью минимизации правового риска.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По имеющейся у Эмитента информации Банк/участник Группы не участвуют в каких-либо существенных судебных разбирательствах по искам, предъявленным к Группе, которые могут негативно сказаться на результатах финансово хозяйственной деятельности Эмитента.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*включаются в состав операционного риска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1.9.4. Риск потери деловой репутации (</w:t>
      </w:r>
      <w:r>
        <w:rPr>
          <w:rFonts w:ascii="Times New Roman" w:hAnsi="Times New Roman" w:cs="Times New Roman"/>
          <w:b/>
          <w:sz w:val="24"/>
          <w:szCs w:val="24"/>
        </w:rPr>
        <w:t xml:space="preserve">репутационный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риск)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Группа может быть подвержена риску потери деловой репутации в случае формирования в обществе негативного представления о финансовой устойчивости Группы, качестве оказываемых услуг или характере деятельности в целом.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pStyle w:val="1067"/>
        <w:contextualSpacing w:val="0"/>
        <w:ind w:left="0" w:firstLine="709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Возникновение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репутационного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 риска может быть обусловлено следующими факторами: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31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наличие негативной информации о Группе, членах органов управления и работниках участников Группы, дочерних организациях и других аффилированных лицах в средствах массовой информации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и иных источниках;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31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возникновение конфликта интересов с клиентами и/или контрагентами участников Группы, а также другими заинтересованными лицами;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31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наличие жалоб, судебных исков со стороны клиентов и/или контрагентов участников Группы, применение мер воздействия со стороны регулирующих органов.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contextualSpacing w:val="0"/>
        <w:ind w:left="0" w:firstLine="567"/>
        <w:jc w:val="both"/>
        <w:spacing w:after="0" w:line="240" w:lineRule="auto"/>
        <w:tabs>
          <w:tab w:val="left" w:pos="267" w:leader="none"/>
        </w:tabs>
        <w:rPr>
          <w:rFonts w:ascii="Times New Roman" w:hAnsi="Times New Roman" w:cs="Times New Roman" w:eastAsiaTheme="minorHAnsi"/>
          <w:sz w:val="24"/>
          <w:szCs w:val="24"/>
          <w:lang w:val="ru-RU"/>
        </w:rPr>
      </w:pP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Снижение 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репутационного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  <w:t xml:space="preserve"> риска достигается за счет:</w:t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  <w:r>
        <w:rPr>
          <w:rFonts w:ascii="Times New Roman" w:hAnsi="Times New Roman" w:cs="Times New Roman" w:eastAsiaTheme="minorHAnsi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25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своевременного реагирования на отзывы, претензии и предложения клиентов и других заинтересованных лиц;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25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своевременного рассмотрения и реагирования на негативные отзывы и сообщения о Группе в средствах массовой информации и иных источниках;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25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соблюдения участниками Группы законодательства, норм делового оборота и деловой этики, принятых бизнес-сообществом;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pStyle w:val="1067"/>
        <w:numPr>
          <w:ilvl w:val="0"/>
          <w:numId w:val="16"/>
        </w:numPr>
        <w:contextualSpacing w:val="0"/>
        <w:ind w:left="0" w:firstLine="567"/>
        <w:jc w:val="both"/>
        <w:spacing w:after="0" w:line="240" w:lineRule="auto"/>
        <w:tabs>
          <w:tab w:val="left" w:pos="255" w:leader="none"/>
        </w:tabs>
        <w:rPr>
          <w:rFonts w:ascii="Times New Roman" w:hAnsi="Times New Roman" w:eastAsia="Times New Roman" w:cs="Times New Roman"/>
          <w:sz w:val="24"/>
          <w:szCs w:val="24"/>
          <w:lang w:val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реализации программ повышения лояльности контрагентов.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1.9.5. Природно-климатический риск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Банк создан для реализации государственной аграрной политики и является основой финансово-кредитного обслуживания АПК и смежных отраслей, что определяет отраслевую структуру кредитного портфеля Банка. Задачи, связанные с кредитованием </w:t>
      </w:r>
      <w:r>
        <w:rPr>
          <w:rFonts w:ascii="Times New Roman" w:hAnsi="Times New Roman" w:cs="Times New Roman"/>
          <w:sz w:val="24"/>
          <w:szCs w:val="24"/>
        </w:rPr>
        <w:t xml:space="preserve">сельхозтоваропроизводителей</w:t>
      </w:r>
      <w:r>
        <w:rPr>
          <w:rFonts w:ascii="Times New Roman" w:hAnsi="Times New Roman" w:cs="Times New Roman"/>
          <w:sz w:val="24"/>
          <w:szCs w:val="24"/>
        </w:rPr>
        <w:t xml:space="preserve">, формируют дополнительные кредитные риски, которые обусловлены специфическими рисками АПК, прежде всего, агроклиматическими. В результате высокой доли кредитов, выданных предприятиям аграрного сектора, финансовые </w:t>
      </w:r>
      <w:r>
        <w:rPr>
          <w:rFonts w:ascii="Times New Roman" w:hAnsi="Times New Roman" w:cs="Times New Roman"/>
          <w:sz w:val="24"/>
          <w:szCs w:val="24"/>
        </w:rPr>
        <w:t xml:space="preserve">результаты Банка могут значительно зависеть от сезонных и циклических изменений в сельскохозяйственном секторе, снижения цен на продовольстви</w:t>
      </w:r>
      <w:r>
        <w:rPr>
          <w:rFonts w:ascii="Times New Roman" w:hAnsi="Times New Roman" w:cs="Times New Roman"/>
          <w:sz w:val="24"/>
          <w:szCs w:val="24"/>
        </w:rPr>
        <w:t xml:space="preserve">е товары или увеличения издержек производства. Кроме того, неблагоприятные погодные условия, стихийные бедствия и другие события природно-климатического характера могут оказать существенное влияние на способность заемщиков обслуживать кредиты. Широкая сеть</w:t>
      </w:r>
      <w:r>
        <w:rPr>
          <w:rFonts w:ascii="Times New Roman" w:hAnsi="Times New Roman" w:cs="Times New Roman"/>
          <w:sz w:val="24"/>
          <w:szCs w:val="24"/>
        </w:rPr>
        <w:t xml:space="preserve"> точек продаж и обслуживания Банка, охватывающая большинство регионов России, определяет возможность реализации рисков, связанных с объективными природно-климатическими процессами, что может оказать негативное влияние на деятельность Банка и его клиентов: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Засуха </w: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Малое количество осадков в весенне-летний период года наносит ощутимый вр</w:t>
      </w:r>
      <w:r>
        <w:rPr>
          <w:rFonts w:ascii="Times New Roman" w:hAnsi="Times New Roman" w:cs="Times New Roman"/>
          <w:sz w:val="24"/>
          <w:szCs w:val="24"/>
        </w:rPr>
        <w:t xml:space="preserve">ед сельскохозяйственным культурам и плодово-ягодным насаждениям, что снижает урожайность и, следовательно, объемы реализации готовой продукции, что негативно отражается на платежеспособности клиентов Банка. В наибольшей степени засухе подвержены степные и </w:t>
      </w:r>
      <w:r>
        <w:rPr>
          <w:rFonts w:ascii="Times New Roman" w:hAnsi="Times New Roman" w:cs="Times New Roman"/>
          <w:sz w:val="24"/>
          <w:szCs w:val="24"/>
        </w:rPr>
        <w:t xml:space="preserve">полустепные</w:t>
      </w:r>
      <w:r>
        <w:rPr>
          <w:rFonts w:ascii="Times New Roman" w:hAnsi="Times New Roman" w:cs="Times New Roman"/>
          <w:sz w:val="24"/>
          <w:szCs w:val="24"/>
        </w:rPr>
        <w:t xml:space="preserve"> районы регионов Южного и </w:t>
      </w:r>
      <w:r>
        <w:rPr>
          <w:rFonts w:ascii="Times New Roman" w:hAnsi="Times New Roman" w:cs="Times New Roman"/>
          <w:sz w:val="24"/>
          <w:szCs w:val="24"/>
        </w:rPr>
        <w:t xml:space="preserve">Северо-Кавказского</w:t>
      </w:r>
      <w:r>
        <w:rPr>
          <w:rFonts w:ascii="Times New Roman" w:hAnsi="Times New Roman" w:cs="Times New Roman"/>
          <w:sz w:val="24"/>
          <w:szCs w:val="24"/>
        </w:rPr>
        <w:t xml:space="preserve"> федеральных округов (Республика Калмык</w:t>
      </w:r>
      <w:r>
        <w:rPr>
          <w:rFonts w:ascii="Times New Roman" w:hAnsi="Times New Roman" w:cs="Times New Roman"/>
          <w:sz w:val="24"/>
          <w:szCs w:val="24"/>
        </w:rPr>
        <w:t xml:space="preserve">ия, Ростовская область, Волгоградская область, Астраханская область, Ставропольский край, Республика Дагестан), а также часть территории регионов южного Поволжья и Урала (Саратовская, Самарская, Оренбургская, Челябинская области, Республика Башкортостан).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Подтопление и переувлажнение сельскохозяйственных земель</w: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Происходит по причине выпадения избыточного количества атмосферных осадков или разливов рек в период весеннего паводка.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тер</w:t>
      </w:r>
      <w:r>
        <w:rPr>
          <w:rFonts w:ascii="Times New Roman" w:hAnsi="Times New Roman" w:cs="Times New Roman"/>
          <w:sz w:val="24"/>
          <w:szCs w:val="24"/>
        </w:rPr>
        <w:t xml:space="preserve">риториям, в наибольшей степени подверженным негативному влиянию избыточных осадков, относятся регионы Нечерноземья Северо-Западного и Центрального федеральных округов (Калининградская, Ленинградская, Новгородская, Тверская, Брянская, Ивановская области).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Наибольшие риски ущерба сельхозугодиям характерны для территорий, распол</w:t>
      </w:r>
      <w:r>
        <w:rPr>
          <w:rFonts w:ascii="Times New Roman" w:hAnsi="Times New Roman" w:cs="Times New Roman"/>
          <w:sz w:val="24"/>
          <w:szCs w:val="24"/>
        </w:rPr>
        <w:t xml:space="preserve">оженных на юге Приморского края, в долине реки Амур (Хабаровский край, Амурская область Еврейская АО), в бассейне Средней и Верхней Оки (Нижегородская, Владимирская, Рязанская области) и Верхнего Дона (Воронежская область), на реках бассейнов Кубани и Тере</w:t>
      </w:r>
      <w:r>
        <w:rPr>
          <w:rFonts w:ascii="Times New Roman" w:hAnsi="Times New Roman" w:cs="Times New Roman"/>
          <w:sz w:val="24"/>
          <w:szCs w:val="24"/>
        </w:rPr>
        <w:t xml:space="preserve">ка (Краснодарский край, Карачаево-Черкесская Республика, Ингушетия, Северная Осетия), в бассейнах рек Тобол (Свердловская и Тюменская области) и Ангара (Иркутская область), на притоках Среднего Енисея (Красноярский край) и Средней Лены (Республика Якутия).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Сейсмоопасность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(землетрясения)</w:t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  <w:r>
        <w:rPr>
          <w:rFonts w:ascii="Times New Roman" w:hAnsi="Times New Roman" w:cs="Times New Roman"/>
          <w:i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Территория России, по сравнению с другими государствами, в целом характ</w:t>
      </w:r>
      <w:r>
        <w:rPr>
          <w:rFonts w:ascii="Times New Roman" w:hAnsi="Times New Roman" w:cs="Times New Roman"/>
          <w:sz w:val="24"/>
          <w:szCs w:val="24"/>
        </w:rPr>
        <w:t xml:space="preserve">еризуется умеренной сейсмичностью. Но отдельные территории страны являются потенциально сейсмически опасными зонами. Наибольшим риском землетрясения характеризуются Сахалинская область и Камчатский край, расположенные в северной части Тихоокеанского сейсми</w:t>
      </w:r>
      <w:r>
        <w:rPr>
          <w:rFonts w:ascii="Times New Roman" w:hAnsi="Times New Roman" w:cs="Times New Roman"/>
          <w:sz w:val="24"/>
          <w:szCs w:val="24"/>
        </w:rPr>
        <w:t xml:space="preserve">ческого пояса – самого активного на Земле. Некоторой сейсмической активностью отличается ряд районов республик Северного Кавказа, Сибири и Урала, расположенных в пределах горных систем – Кавказских, Алтайских, Саянских и Уральских гор, а также Байкальская </w:t>
      </w:r>
      <w:r>
        <w:rPr>
          <w:rFonts w:ascii="Times New Roman" w:hAnsi="Times New Roman" w:cs="Times New Roman"/>
          <w:sz w:val="24"/>
          <w:szCs w:val="24"/>
        </w:rPr>
        <w:t xml:space="preserve">рифтовая</w:t>
      </w:r>
      <w:r>
        <w:rPr>
          <w:rFonts w:ascii="Times New Roman" w:hAnsi="Times New Roman" w:cs="Times New Roman"/>
          <w:sz w:val="24"/>
          <w:szCs w:val="24"/>
        </w:rPr>
        <w:t xml:space="preserve"> зона, над которой располагается озеро Байкал. Однако масштабы сельскохозяйственной деятельности в потенциально сейсмоопасных районах России незначительны.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Услуги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агрострахования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активно развиваются, однако доля застрахованных сельскохозяйственных угодий все еще остается низкой. По данным Национальной ассоциации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агростраховщиков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 Российской Федерации в 2025 году было застраховано всего 14,5 млн. га (около 17,50%) посевной площади. Растущая доля страхования постепенно снижает финансово-кредитные риски отрасли и Банка.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3"/>
      </w:pPr>
      <w:r>
        <w:rPr>
          <w:rFonts w:ascii="Times New Roman" w:hAnsi="Times New Roman" w:cs="Times New Roman"/>
          <w:sz w:val="24"/>
          <w:szCs w:val="24"/>
        </w:rPr>
        <w:t xml:space="preserve">Все риски, связанные с негативным влиянием внешних факторов на деятельность Банка, полностью учитываются в работе. Управление этими рисками осуществляется в полном соответствии с требованиями Банка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1.9.6. Иные риски, которые являются существенными для эмитента (группы эмитента)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3"/>
      </w:pPr>
      <w:r>
        <w:rPr>
          <w:rFonts w:ascii="Times New Roman" w:hAnsi="Times New Roman" w:cs="Times New Roman"/>
          <w:sz w:val="24"/>
          <w:szCs w:val="24"/>
        </w:rPr>
        <w:t xml:space="preserve">Иные риски, которые являются существенными для Группы эмитента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Раздел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2. Сведения о лицах, входящих в состав органов управления эмитента, сведения об организации в эмитенте управления рисками, контроля за финансово-хозяйственной деятельностью и внутреннего контроля, внутреннего аудита, а также сведения о работниках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04.07.2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бумаг», согласно пункту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Приложения к Постановлению Правительства Российской Федерации от 04.07.2023 № 1102,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в данном пун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кте не раскрывается, так как в отношении АО «Россельхозбанк» действуют ограничительные меры со стороны Великобритании, США, стран ЕС, Швейцарии, Канады, Австралии, Японии и Новой Зеландии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2.1. Информация о лицах, входящих в состав органов управления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Наблюдательный совет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состоянию на 01.01.2026 действовал следующий состав Наблюдательного совета Банка, избранный решением годового заседания Общего собрания акционеров Банка 30.06.2025</w:t>
      </w:r>
      <w:r>
        <w:rPr>
          <w:rStyle w:val="1118"/>
          <w:rFonts w:ascii="Times New Roman" w:hAnsi="Times New Roman" w:eastAsia="Times New Roman" w:cs="Times New Roman"/>
          <w:sz w:val="24"/>
          <w:szCs w:val="24"/>
          <w:highlight w:val="white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, состоящий из 9 членов: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22"/>
        <w:gridCol w:w="6634"/>
      </w:tblGrid>
      <w:tr>
        <w:tblPrEx/>
        <w:trPr/>
        <w:tc>
          <w:tcPr>
            <w:tcBorders>
              <w:top w:val="single" w:color="000000" w:sz="4" w:space="0"/>
            </w:tcBorders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Персональный состав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</w:tcBorders>
            <w:tcW w:w="66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Наблюдательного совета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Фамилия, имя, отчество: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4"/>
        </w:trPr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Год рождения: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62"/>
        </w:trPr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469" w:type="dxa"/>
        <w:tblInd w:w="-5" w:type="dxa"/>
        <w:tblLook w:val="0000" w:firstRow="0" w:lastRow="0" w:firstColumn="0" w:lastColumn="0" w:noHBand="0" w:noVBand="0"/>
      </w:tblPr>
      <w:tblGrid>
        <w:gridCol w:w="2376"/>
        <w:gridCol w:w="1760"/>
        <w:gridCol w:w="2626"/>
        <w:gridCol w:w="2707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yellow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771"/>
        <w:gridCol w:w="1008"/>
        <w:gridCol w:w="566"/>
      </w:tblGrid>
      <w:tr>
        <w:tblPrEx/>
        <w:trPr>
          <w:trHeight w:val="164"/>
        </w:trPr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4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35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22"/>
        <w:gridCol w:w="6634"/>
      </w:tblGrid>
      <w:tr>
        <w:tblPrEx/>
        <w:trPr/>
        <w:tc>
          <w:tcPr>
            <w:tcBorders>
              <w:top w:val="single" w:color="000000" w:sz="4" w:space="0"/>
            </w:tcBorders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Персональный состав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</w:tcBorders>
            <w:tcW w:w="663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Наблюдательного совета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Фамилия, имя, отчество: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Год рождения: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62"/>
        </w:trPr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63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469" w:type="dxa"/>
        <w:tblInd w:w="-5" w:type="dxa"/>
        <w:tblLook w:val="0000" w:firstRow="0" w:lastRow="0" w:firstColumn="0" w:lastColumn="0" w:noHBand="0" w:noVBand="0"/>
      </w:tblPr>
      <w:tblGrid>
        <w:gridCol w:w="2376"/>
        <w:gridCol w:w="1760"/>
        <w:gridCol w:w="2626"/>
        <w:gridCol w:w="2707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771"/>
        <w:gridCol w:w="1008"/>
        <w:gridCol w:w="566"/>
      </w:tblGrid>
      <w:tr>
        <w:tblPrEx/>
        <w:trPr>
          <w:trHeight w:val="164"/>
        </w:trPr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5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149"/>
        <w:gridCol w:w="620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98" w:type="dxa"/>
        <w:tblInd w:w="-147" w:type="dxa"/>
        <w:tblLook w:val="0000" w:firstRow="0" w:lastRow="0" w:firstColumn="0" w:lastColumn="0" w:noHBand="0" w:noVBand="0"/>
      </w:tblPr>
      <w:tblGrid>
        <w:gridCol w:w="1608"/>
        <w:gridCol w:w="1760"/>
        <w:gridCol w:w="3021"/>
        <w:gridCol w:w="3109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919"/>
        <w:gridCol w:w="1008"/>
        <w:gridCol w:w="566"/>
      </w:tblGrid>
      <w:tr>
        <w:tblPrEx/>
        <w:trPr>
          <w:trHeight w:val="164"/>
        </w:trPr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6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4.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149"/>
        <w:gridCol w:w="6201"/>
      </w:tblGrid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Персональный состав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Наблюдательного совета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Фамилия, имя, отчество: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7"/>
        </w:trPr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Год рождения: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356" w:type="dxa"/>
        <w:tblInd w:w="-5" w:type="dxa"/>
        <w:tblLook w:val="0000" w:firstRow="0" w:lastRow="0" w:firstColumn="0" w:lastColumn="0" w:noHBand="0" w:noVBand="0"/>
      </w:tblPr>
      <w:tblGrid>
        <w:gridCol w:w="1715"/>
        <w:gridCol w:w="1760"/>
        <w:gridCol w:w="3180"/>
        <w:gridCol w:w="2701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701" w:type="dxa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%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7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149"/>
        <w:gridCol w:w="620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2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45" w:type="dxa"/>
        <w:jc w:val="center"/>
        <w:tblLook w:val="0000" w:firstRow="0" w:lastRow="0" w:firstColumn="0" w:lastColumn="0" w:noHBand="0" w:noVBand="0"/>
      </w:tblPr>
      <w:tblGrid>
        <w:gridCol w:w="2236"/>
        <w:gridCol w:w="1974"/>
        <w:gridCol w:w="2450"/>
        <w:gridCol w:w="2685"/>
      </w:tblGrid>
      <w:tr>
        <w:tblPrEx/>
        <w:trPr>
          <w:jc w:val="center"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4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3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97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45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68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772"/>
        <w:gridCol w:w="1008"/>
        <w:gridCol w:w="566"/>
      </w:tblGrid>
      <w:tr>
        <w:tblPrEx/>
        <w:trPr>
          <w:trHeight w:val="164"/>
        </w:trPr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8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6.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149"/>
        <w:gridCol w:w="6201"/>
      </w:tblGrid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1608"/>
        <w:gridCol w:w="1760"/>
        <w:gridCol w:w="3182"/>
        <w:gridCol w:w="2806"/>
      </w:tblGrid>
      <w:tr>
        <w:tblPrEx/>
        <w:trPr>
          <w:jc w:val="center"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0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с лицами, входящими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19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7.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49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4"/>
        <w:gridCol w:w="6824"/>
      </w:tblGrid>
      <w:tr>
        <w:tblPrEx/>
        <w:trPr/>
        <w:tc>
          <w:tcPr>
            <w:tcW w:w="26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4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93" w:type="dxa"/>
        <w:jc w:val="center"/>
        <w:tblLook w:val="0000" w:firstRow="0" w:lastRow="0" w:firstColumn="0" w:lastColumn="0" w:noHBand="0" w:noVBand="0"/>
      </w:tblPr>
      <w:tblGrid>
        <w:gridCol w:w="1609"/>
        <w:gridCol w:w="1760"/>
        <w:gridCol w:w="3187"/>
        <w:gridCol w:w="2937"/>
      </w:tblGrid>
      <w:tr>
        <w:tblPrEx/>
        <w:trPr>
          <w:jc w:val="center"/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4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53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center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9640" w:type="dxa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919"/>
        <w:gridCol w:w="1008"/>
        <w:gridCol w:w="713"/>
      </w:tblGrid>
      <w:tr>
        <w:tblPrEx/>
        <w:trPr>
          <w:trHeight w:val="164"/>
        </w:trPr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0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8.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49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5"/>
        <w:gridCol w:w="6823"/>
      </w:tblGrid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09"/>
        </w:trPr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98" w:type="dxa"/>
        <w:tblInd w:w="-5" w:type="dxa"/>
        <w:tblLook w:val="0000" w:firstRow="0" w:lastRow="0" w:firstColumn="0" w:lastColumn="0" w:noHBand="0" w:noVBand="0"/>
      </w:tblPr>
      <w:tblGrid>
        <w:gridCol w:w="1609"/>
        <w:gridCol w:w="1760"/>
        <w:gridCol w:w="3187"/>
        <w:gridCol w:w="2942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8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42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949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772"/>
        <w:gridCol w:w="1008"/>
        <w:gridCol w:w="713"/>
      </w:tblGrid>
      <w:tr>
        <w:tblPrEx/>
        <w:trPr>
          <w:trHeight w:val="164"/>
        </w:trPr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772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71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1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9.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949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5"/>
        <w:gridCol w:w="6823"/>
      </w:tblGrid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Наблюдательного совета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823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69" w:type="dxa"/>
        <w:tblInd w:w="-5" w:type="dxa"/>
        <w:tblLook w:val="0000" w:firstRow="0" w:lastRow="0" w:firstColumn="0" w:lastColumn="0" w:noHBand="0" w:noVBand="0"/>
      </w:tblPr>
      <w:tblGrid>
        <w:gridCol w:w="1717"/>
        <w:gridCol w:w="1760"/>
        <w:gridCol w:w="3032"/>
        <w:gridCol w:w="2960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3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960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2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об участии членов Наблюдательного совета Банка в работе Комитетов Наблюдательного совета: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tbl>
      <w:tblPr>
        <w:tblW w:w="1047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79"/>
        <w:gridCol w:w="2693"/>
        <w:gridCol w:w="2722"/>
        <w:gridCol w:w="2376"/>
      </w:tblGrid>
      <w:tr>
        <w:tblPrEx/>
        <w:trPr>
          <w:jc w:val="center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Члены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Наблюдательного совета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АО «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Россельхозбанк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79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Членство в Комитетах Наблюдательного совета Банка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Комитет по стратегическому планированию и развитию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Комитет по аудиту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Комитет по кадрам и вознаграждениям</w:t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</w:tc>
      </w:tr>
      <w:tr>
        <w:tblPrEx/>
        <w:trPr>
          <w:jc w:val="center"/>
          <w:trHeight w:val="279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60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262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120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Председатель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60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113"/>
        </w:trPr>
        <w:tc>
          <w:tcPr>
            <w:shd w:val="clear" w:color="ffffff" w:fill="ffffff"/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27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9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Председатель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7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2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Председатель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Член Комитета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Правление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По состоянию на 01.01.2026 действовал следующий состав Правления Банка, состоящий из 5 Членов Правления и Председателя Правления: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2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10"/>
        <w:gridCol w:w="1760"/>
        <w:gridCol w:w="3160"/>
        <w:gridCol w:w="2826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3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4" w:type="dxa"/>
        <w:tblInd w:w="108" w:type="dxa"/>
        <w:tblLook w:val="0000" w:firstRow="0" w:lastRow="0" w:firstColumn="0" w:lastColumn="0" w:noHBand="0" w:noVBand="0"/>
      </w:tblPr>
      <w:tblGrid>
        <w:gridCol w:w="1610"/>
        <w:gridCol w:w="1760"/>
        <w:gridCol w:w="3158"/>
        <w:gridCol w:w="2826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5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4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08"/>
        <w:gridCol w:w="1760"/>
        <w:gridCol w:w="3164"/>
        <w:gridCol w:w="2824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5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98" w:type="dxa"/>
        <w:tblInd w:w="-147" w:type="dxa"/>
        <w:tblLook w:val="0000" w:firstRow="0" w:lastRow="0" w:firstColumn="0" w:lastColumn="0" w:noHBand="0" w:noVBand="0"/>
      </w:tblPr>
      <w:tblGrid>
        <w:gridCol w:w="1608"/>
        <w:gridCol w:w="1760"/>
        <w:gridCol w:w="3021"/>
        <w:gridCol w:w="3109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 банкротстве и (или) введена одна из процедур банкротства, предусмотренных </w:t>
      </w:r>
      <w:hyperlink r:id="rId26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3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10"/>
        <w:gridCol w:w="1760"/>
        <w:gridCol w:w="3160"/>
        <w:gridCol w:w="2826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7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6.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Правления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08"/>
        <w:gridCol w:w="1760"/>
        <w:gridCol w:w="3164"/>
        <w:gridCol w:w="2824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4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20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8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Единоличный исполнительный орган (Председатель Правления)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tbl>
      <w:tblPr>
        <w:tblW w:w="0" w:type="auto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149"/>
        <w:gridCol w:w="6201"/>
      </w:tblGrid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149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620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498" w:type="dxa"/>
        <w:tblInd w:w="-147" w:type="dxa"/>
        <w:tblLook w:val="0000" w:firstRow="0" w:lastRow="0" w:firstColumn="0" w:lastColumn="0" w:noHBand="0" w:noVBand="0"/>
      </w:tblPr>
      <w:tblGrid>
        <w:gridCol w:w="1608"/>
        <w:gridCol w:w="1760"/>
        <w:gridCol w:w="3021"/>
        <w:gridCol w:w="3109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02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0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919"/>
        <w:gridCol w:w="1008"/>
        <w:gridCol w:w="566"/>
      </w:tblGrid>
      <w:tr>
        <w:tblPrEx/>
        <w:trPr>
          <w:trHeight w:val="164"/>
        </w:trPr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1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совершении в отчетном периоде сделки по приобретению или отчуждению акций (долей) эмитента с указанием по каждой сделке даты ее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совершения, содержания сделки, категорий (типов) и количества акций (долей), являвшихся предметом сделки: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Сделки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Характер родственны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х связей (супруги, родители, дети, усыновители, усыновленные, родные братья и сестры, дедушки, бабушки, внуки) с лицами, входящими в состав органов управления эмитента и (или) органов контроля за финансово-хозяйственной деятельностью эмитента, указанных в </w:t>
      </w:r>
      <w:hyperlink w:tooltip="#Par325" w:anchor="Par325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пункте 2.3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настоящего раздела: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к админист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занятии лицом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29" w:tooltip="consultantplus://offline/ref=51B876EA2E283A6B860B3B9DADA4B3285A689A61E08D1A0C678F896105A579876ACC75930475CE83E8F2446DEEADB63A2165057C3ANDwAO" w:history="1">
        <w:r>
          <w:rPr>
            <w:rFonts w:ascii="Times New Roman" w:hAnsi="Times New Roman" w:cs="Times New Roman"/>
            <w:b/>
            <w:i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 Федерального закона «О несостоятельности (банкротстве)».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В период между отчетной датой (01.01.2026) и датой составления консолид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 (23.03.2026) в составе информации, приведенной в пункте 2.1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2.2. Сведения о политике в области вознаграждения и (или) компенсации расходов, а также о размере вознаграждения и (или) компенсации расходов по каждому органу управления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Основные положения политики в области вознаграждения и (или) компенсации расходов членов органов управления эмитента: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Приводятся основные положения политики в области вознаграждения и (или) компенсации расходов членов органов управления эмитента.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Наблюдательным советом Банка утверждена Политика в области оплаты труда работников АО 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«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» №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697-П</w:t>
      </w:r>
      <w:r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(далее – Политика в области оплаты труда), предусматривающая учет всех требований действующего законодательства Российской Федерации, в том числе нормативных актов Банка России к системе оплаты труда кредитной организации.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Утвержденная Наблюдательным советом Банка Политика в области оплаты труда содержит положения о вознаграждениях единоличного исполнительного органа и членов коллегиального исполнительного органа Банка.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Утвержденная Наблюдательным советом Банка Политика в области оплаты труда предусматривает, в том числе: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все используемые в Банке формы оплаты труда и виды выплат;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порядок определения размеров должностных окладов, компенсационных, стимулирующих и социальных выплат;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зависимость переменной части оплаты труда от исполнения ключевых показателей эффективности, позволяющих учитывать все значимые для Банка риски;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порядок оценки эффективности организации и функционирования системы оплаты труда, ее соответствия Стратегии Банка, характеру и масштабу совершаемых операций, результатам деятельности, уровню и сочетанию принимаемых рисков;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критерии определения крупных вознаграждений и механизм контроля их выплат со стороны Наблюдательного совета Банка.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Для всех категорий работников Банка применяется система оплаты труда, включающая в себя следующие элементы заработной платы: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оклад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стимулирующие выплаты (премиальные выплаты, доплаты и надбавки стимулирующего характера);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numPr>
          <w:ilvl w:val="0"/>
          <w:numId w:val="17"/>
        </w:numPr>
        <w:ind w:left="0"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компенсационные выплаты (доплаты и надбавки компенсационного характера) и прочие выплаты, осуществляемые в соответствии с трудовым законодательством Российской Федерации и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/</w:t>
      </w:r>
      <w:r>
        <w:rPr>
          <w:rFonts w:ascii="Times New Roman" w:hAnsi="Times New Roman" w:cs="Times New Roman"/>
          <w:sz w:val="24"/>
          <w:szCs w:val="24"/>
        </w:rPr>
        <w:t xml:space="preserve"> 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или внутренними документами Банка.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Единый порядок определения размера, форм и начисления элементов системы оплаты труда устанавливается внутренними документами Банка.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Предварительное рассмотрение вопросов Политики в области оплаты труда осуществляется Комитетом по кадрам и вознаграждениям Наблюдательного совета 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(далее - Комитет по кадрам).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К компетенции Комитета по кадрам в числе прочих отнесены такие вопросы, как формирование принципов и критериев определения размера вознаграждения руководителей Банка, подго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товка предложений Наблюдательному совету Банка по вопросам политики в области оплаты труда, мониторинг соответствия действующей в Банке политики в области вознаграждения, стратегии развития Банка, его финансовому положению, а также ситуации на рынке труда.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Решения о порядке определения размера, форм и начисления компенсационных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br/>
        <w:t xml:space="preserve">и стимулирующих выплат руководящим работникам Банка принимаются Наблюдательным советом Банка.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Принципы системы оплаты труда Банка распространяются на организации Группы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Банка с учетом характера деятельности и целевых стратегических задач.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2025 году Обществом с ограниченной ответственностью «АМТ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Консалт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проведена независимая оценка системы оплаты труда Банка, по итогам которой подготовлен отчет о результатах независимой оценки системы оплаты труда Банка, подтверждающий соответствие системы оплаты труда Банка требованиям Банка России.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Итоги независимой оценки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системы оплаты труда Банка, подтверждающие ее соответствие требованиям Банка России, в том числе характеру и масштабу совершаемых Банком операций, результатам его деятельности, уровню и сочетанию принимаемых рисков, рассмотрены Наблюдательным советом Банка</w:t>
      </w:r>
      <w:r>
        <w:rPr>
          <w:rStyle w:val="1118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  <w:lang w:val="ru-RU"/>
        </w:rPr>
      </w:r>
    </w:p>
    <w:p>
      <w:pPr>
        <w:pStyle w:val="1096"/>
        <w:ind w:firstLine="709"/>
        <w:spacing w:line="240" w:lineRule="auto"/>
        <w:tabs>
          <w:tab w:val="left" w:pos="993" w:leader="none"/>
        </w:tabs>
        <w:rPr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Наряду с результатами независимой оценки системы оплаты труда Банка, а также 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по результатам проведенной Банком самооценки системы оплаты труда в соответствии 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с требованиями Банка России и запросом уполномоченного структурного по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дразделения Банка России Наблюдательным советом Банка принято решение о признании системы оплаты труда Банка соответствующей стратегии Банка, характеру и масштабу совершаемых им операций, результатам его деятельности, уровню и сочетанию принимаемых рисков </w:t>
      </w:r>
      <w:r>
        <w:rPr>
          <w:rFonts w:ascii="Times New Roman" w:hAnsi="Times New Roman" w:cs="Times New Roman"/>
          <w:sz w:val="24"/>
          <w:szCs w:val="24"/>
          <w:lang w:val="ru-RU"/>
        </w:rPr>
        <w:br/>
        <w:t xml:space="preserve">и подлежащей сохранению на следующий календарный год</w:t>
      </w:r>
      <w:r>
        <w:rPr>
          <w:rStyle w:val="1118"/>
          <w:rFonts w:ascii="Times New Roman" w:hAnsi="Times New Roman" w:cs="Times New Roman"/>
          <w:sz w:val="20"/>
          <w:szCs w:val="20"/>
        </w:rPr>
        <w:footnoteReference w:id="8"/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размере и видах вознаграждения, которые были выплачены Эмитентом: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center"/>
        <w:spacing w:line="216" w:lineRule="auto"/>
        <w:rPr>
          <w:rFonts w:ascii="Times New Roman" w:hAnsi="Times New Roman"/>
          <w:b/>
          <w:bCs/>
          <w:highlight w:val="white"/>
        </w:rPr>
        <w:outlineLvl w:val="0"/>
      </w:pPr>
      <w:r>
        <w:rPr>
          <w:rFonts w:ascii="Times New Roman" w:hAnsi="Times New Roman"/>
          <w:b/>
          <w:bCs/>
          <w:highlight w:val="white"/>
        </w:rPr>
        <w:t xml:space="preserve">Наблюдательный совет</w:t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660"/>
        <w:gridCol w:w="3572"/>
        <w:gridCol w:w="3261"/>
      </w:tblGrid>
      <w:tr>
        <w:tblPrEx/>
        <w:trPr/>
        <w:tc>
          <w:tcPr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572" w:type="dxa"/>
            <w:vAlign w:val="center"/>
            <w:textDirection w:val="lrTb"/>
            <w:noWrap w:val="false"/>
          </w:tcPr>
          <w:p>
            <w:pPr>
              <w:pStyle w:val="1069"/>
              <w:ind w:firstLine="0"/>
              <w:jc w:val="center"/>
              <w:tabs>
                <w:tab w:val="left" w:pos="368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Вид вознаграждения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(заработная плата, премии, комиссионные, вознаграждения, компенсации расходов, иное)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Размер вознаграждения,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тыс. руб.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/>
        <w:tc>
          <w:tcPr>
            <w:tcW w:w="26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12 месяцев 2025 года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Вознаграждения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10 600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204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Компенсации расходов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169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25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ИТОГО: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10 769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</w:tbl>
    <w:p>
      <w:pPr>
        <w:pStyle w:val="1106"/>
        <w:ind w:firstLine="540"/>
        <w:jc w:val="both"/>
        <w:rPr>
          <w:b/>
          <w:i/>
          <w:highlight w:val="white"/>
        </w:rPr>
      </w:pPr>
      <w:r>
        <w:rPr>
          <w:b/>
          <w:i/>
          <w:highlight w:val="white"/>
        </w:rPr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bCs/>
          <w:highlight w:val="white"/>
        </w:rPr>
        <w:outlineLvl w:val="0"/>
      </w:pP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p>
      <w:pPr>
        <w:ind w:firstLine="709"/>
        <w:jc w:val="center"/>
        <w:spacing w:after="0" w:line="240" w:lineRule="auto"/>
        <w:rPr>
          <w:rFonts w:ascii="Times New Roman" w:hAnsi="Times New Roman"/>
          <w:b/>
          <w:bCs/>
          <w:highlight w:val="white"/>
        </w:rPr>
        <w:outlineLvl w:val="0"/>
      </w:pPr>
      <w:r>
        <w:rPr>
          <w:rFonts w:ascii="Times New Roman" w:hAnsi="Times New Roman"/>
          <w:b/>
          <w:bCs/>
          <w:highlight w:val="white"/>
        </w:rPr>
        <w:t xml:space="preserve">Правление</w:t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tbl>
      <w:tblPr>
        <w:tblW w:w="94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660"/>
        <w:gridCol w:w="3572"/>
        <w:gridCol w:w="3261"/>
      </w:tblGrid>
      <w:tr>
        <w:tblPrEx/>
        <w:trPr>
          <w:trHeight w:val="1008"/>
        </w:trPr>
        <w:tc>
          <w:tcPr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572" w:type="dxa"/>
            <w:vAlign w:val="center"/>
            <w:textDirection w:val="lrTb"/>
            <w:noWrap w:val="false"/>
          </w:tcPr>
          <w:p>
            <w:pPr>
              <w:pStyle w:val="1069"/>
              <w:ind w:firstLine="0"/>
              <w:jc w:val="center"/>
              <w:tabs>
                <w:tab w:val="left" w:pos="368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Вид вознаграждения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(заработная плата, премии, комиссионные, вознаграждения, компенсации расходов, иное)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Размер вознаграждения,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тыс. руб.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/>
        <w:tc>
          <w:tcPr>
            <w:tcW w:w="266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12 месяцев 2025 года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Заработная плата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148 142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Премия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79 892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6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Компенсации расходов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1 121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6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Отложенный годовой бонус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ИТОГО: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7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229 155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06"/>
        <w:ind w:firstLine="540"/>
        <w:jc w:val="both"/>
        <w:rPr>
          <w:b/>
          <w:i/>
          <w:highlight w:val="white"/>
        </w:rPr>
      </w:pPr>
      <w:r>
        <w:rPr>
          <w:b/>
          <w:i/>
          <w:highlight w:val="white"/>
        </w:rPr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center"/>
        <w:spacing w:line="216" w:lineRule="auto"/>
        <w:rPr>
          <w:rFonts w:ascii="Times New Roman" w:hAnsi="Times New Roman"/>
          <w:b/>
          <w:bCs/>
          <w:highlight w:val="white"/>
        </w:rPr>
      </w:pPr>
      <w:r>
        <w:rPr>
          <w:rFonts w:ascii="Times New Roman" w:hAnsi="Times New Roman"/>
          <w:b/>
          <w:bCs/>
          <w:highlight w:val="white"/>
        </w:rPr>
        <w:t xml:space="preserve">Ревизионная комиссия</w:t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88"/>
        <w:gridCol w:w="3240"/>
        <w:gridCol w:w="3240"/>
      </w:tblGrid>
      <w:tr>
        <w:tblPrEx/>
        <w:trPr>
          <w:jc w:val="center"/>
          <w:trHeight w:val="280"/>
        </w:trPr>
        <w:tc>
          <w:tcPr>
            <w:tcW w:w="29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pStyle w:val="1069"/>
              <w:ind w:firstLine="0"/>
              <w:jc w:val="center"/>
              <w:tabs>
                <w:tab w:val="left" w:pos="368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Вид вознаграждения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(заработная плата, премии, комиссионные, льготы и (или) компенсации расходов, иное)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Размер вознаграждения,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тыс. руб.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12 месяцев 2025 года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Заработная плата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Премия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Компенсации расходов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0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106"/>
        <w:ind w:firstLine="540"/>
        <w:jc w:val="both"/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jc w:val="center"/>
        <w:spacing w:line="216" w:lineRule="auto"/>
        <w:rPr>
          <w:rFonts w:ascii="Times New Roman" w:hAnsi="Times New Roman"/>
          <w:b/>
          <w:bCs/>
          <w:highlight w:val="white"/>
        </w:rPr>
      </w:pPr>
      <w:r>
        <w:rPr>
          <w:rFonts w:ascii="Times New Roman" w:hAnsi="Times New Roman"/>
          <w:b/>
          <w:bCs/>
          <w:highlight w:val="white"/>
        </w:rPr>
        <w:t xml:space="preserve">Служба внутреннего аудита</w:t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88"/>
        <w:gridCol w:w="3240"/>
        <w:gridCol w:w="3240"/>
      </w:tblGrid>
      <w:tr>
        <w:tblPrEx/>
        <w:trPr>
          <w:jc w:val="center"/>
          <w:trHeight w:val="280"/>
        </w:trPr>
        <w:tc>
          <w:tcPr>
            <w:tcW w:w="29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pStyle w:val="1069"/>
              <w:ind w:firstLine="0"/>
              <w:jc w:val="center"/>
              <w:tabs>
                <w:tab w:val="left" w:pos="368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Вид вознаграждения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(заработная плата, премии, комиссионные, льготы и (или) компенсации расходов, иное)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Размер вознаграждения,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тыс. руб.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12 месяцев 2025 года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Заработная плата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201 892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  <w:trHeight w:val="185"/>
        </w:trPr>
        <w:tc>
          <w:tcPr>
            <w:tcW w:w="2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Премия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40 621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  <w:trHeight w:val="253"/>
        </w:trPr>
        <w:tc>
          <w:tcPr>
            <w:tcW w:w="2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Отложенный годовой бонус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0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Компенсации расходов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(командировки)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10 489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highlight w:val="white"/>
              </w:rPr>
            </w:pPr>
            <w:r>
              <w:rPr>
                <w:rFonts w:ascii="Times New Roman" w:hAnsi="Times New Roman"/>
                <w:b/>
                <w:bCs/>
                <w:highlight w:val="white"/>
              </w:rPr>
              <w:t xml:space="preserve">253 002</w:t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  <w:r>
              <w:rPr>
                <w:rFonts w:ascii="Times New Roman" w:hAnsi="Times New Roman"/>
                <w:b/>
                <w:bCs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center"/>
        <w:spacing w:line="216" w:lineRule="auto"/>
        <w:rPr>
          <w:rFonts w:ascii="Times New Roman" w:hAnsi="Times New Roman"/>
          <w:b/>
          <w:bCs/>
          <w:highlight w:val="yellow"/>
        </w:rPr>
      </w:pPr>
      <w:r>
        <w:rPr>
          <w:rFonts w:ascii="Times New Roman" w:hAnsi="Times New Roman"/>
          <w:b/>
          <w:bCs/>
          <w:highlight w:val="yellow"/>
        </w:rPr>
      </w:r>
      <w:r>
        <w:rPr>
          <w:rFonts w:ascii="Times New Roman" w:hAnsi="Times New Roman"/>
          <w:b/>
          <w:bCs/>
          <w:highlight w:val="yellow"/>
        </w:rPr>
      </w:r>
      <w:r>
        <w:rPr>
          <w:rFonts w:ascii="Times New Roman" w:hAnsi="Times New Roman"/>
          <w:b/>
          <w:bCs/>
          <w:highlight w:val="yellow"/>
        </w:rPr>
      </w:r>
    </w:p>
    <w:p>
      <w:pPr>
        <w:ind w:firstLine="709"/>
        <w:jc w:val="center"/>
        <w:spacing w:line="216" w:lineRule="auto"/>
        <w:rPr>
          <w:rFonts w:ascii="Times New Roman" w:hAnsi="Times New Roman"/>
          <w:b/>
          <w:bCs/>
          <w:highlight w:val="white"/>
        </w:rPr>
      </w:pPr>
      <w:r>
        <w:rPr>
          <w:rFonts w:ascii="Times New Roman" w:hAnsi="Times New Roman"/>
          <w:b/>
          <w:bCs/>
          <w:highlight w:val="white"/>
        </w:rPr>
        <w:t xml:space="preserve">Департамент </w:t>
      </w:r>
      <w:r>
        <w:rPr>
          <w:rFonts w:ascii="Times New Roman" w:hAnsi="Times New Roman"/>
          <w:b/>
          <w:bCs/>
          <w:highlight w:val="white"/>
        </w:rPr>
        <w:t xml:space="preserve">комплаенс</w:t>
      </w:r>
      <w:r>
        <w:rPr>
          <w:rFonts w:ascii="Times New Roman" w:hAnsi="Times New Roman"/>
          <w:b/>
          <w:bCs/>
          <w:highlight w:val="white"/>
        </w:rPr>
        <w:t xml:space="preserve">-контроля</w:t>
      </w:r>
      <w:r>
        <w:rPr>
          <w:rFonts w:ascii="Times New Roman" w:hAnsi="Times New Roman"/>
          <w:b/>
          <w:bCs/>
          <w:highlight w:val="white"/>
        </w:rPr>
      </w:r>
      <w:r>
        <w:rPr>
          <w:rFonts w:ascii="Times New Roman" w:hAnsi="Times New Roman"/>
          <w:b/>
          <w:bCs/>
          <w:highlight w:val="white"/>
        </w:rPr>
      </w:r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988"/>
        <w:gridCol w:w="3240"/>
        <w:gridCol w:w="3240"/>
      </w:tblGrid>
      <w:tr>
        <w:tblPrEx/>
        <w:trPr>
          <w:jc w:val="center"/>
          <w:trHeight w:val="1008"/>
        </w:trPr>
        <w:tc>
          <w:tcPr>
            <w:tcW w:w="298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Отчетная дата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pStyle w:val="1069"/>
              <w:ind w:firstLine="0"/>
              <w:jc w:val="center"/>
              <w:tabs>
                <w:tab w:val="left" w:pos="368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Вид вознаграждения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(заработная плата, премии, комиссионные, вознаграждения, компенсации расходов, иное)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Размер вознаграждения, 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тыс. руб.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2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3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12 месяцев 2025 года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Заработная плата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147 568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Премия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28 866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</w:trPr>
        <w:tc>
          <w:tcPr>
            <w:tcW w:w="298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Отложенный годовой бонус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  <w:trHeight w:val="114"/>
        </w:trPr>
        <w:tc>
          <w:tcPr>
            <w:tcW w:w="2988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  <w:r>
              <w:rPr>
                <w:rFonts w:ascii="Times New Roman" w:hAnsi="Times New Roman"/>
                <w:highlight w:val="yellow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  <w:t xml:space="preserve">Компенсации расходов (командировки)</w:t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727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  <w:trHeight w:val="221"/>
        </w:trPr>
        <w:tc>
          <w:tcPr>
            <w:tcW w:w="298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white"/>
              </w:rPr>
            </w:pPr>
            <w:r>
              <w:rPr>
                <w:rFonts w:ascii="Times New Roman" w:hAnsi="Times New Roman"/>
                <w:b/>
                <w:highlight w:val="white"/>
              </w:rPr>
              <w:t xml:space="preserve">ИТОГО</w:t>
            </w:r>
            <w:r>
              <w:rPr>
                <w:rFonts w:ascii="Times New Roman" w:hAnsi="Times New Roman"/>
                <w:b/>
                <w:highlight w:val="white"/>
              </w:rPr>
            </w:r>
            <w:r>
              <w:rPr>
                <w:rFonts w:ascii="Times New Roman" w:hAnsi="Times New Roman"/>
                <w:b/>
                <w:highlight w:val="white"/>
              </w:rPr>
            </w:r>
          </w:p>
        </w:tc>
        <w:tc>
          <w:tcPr>
            <w:tcW w:w="3240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highlight w:val="white"/>
              </w:rPr>
            </w:pP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  <w:r>
              <w:rPr>
                <w:rFonts w:ascii="Times New Roman" w:hAnsi="Times New Roman"/>
                <w:highlight w:val="white"/>
              </w:rPr>
            </w:r>
          </w:p>
        </w:tc>
        <w:tc>
          <w:tcPr>
            <w:tcW w:w="324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highlight w:val="green"/>
              </w:rPr>
            </w:pPr>
            <w:r>
              <w:rPr>
                <w:rFonts w:ascii="Times New Roman" w:hAnsi="Times New Roman"/>
                <w:b/>
              </w:rPr>
              <w:t xml:space="preserve">177 161</w:t>
            </w:r>
            <w:r>
              <w:rPr>
                <w:rFonts w:ascii="Times New Roman" w:hAnsi="Times New Roman"/>
                <w:b/>
                <w:highlight w:val="green"/>
              </w:rPr>
            </w:r>
            <w:r>
              <w:rPr>
                <w:rFonts w:ascii="Times New Roman" w:hAnsi="Times New Roman"/>
                <w:b/>
                <w:highlight w:val="green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принятых органами управления эмитента решениях и (или) существующих соглашениях относительно размера вознаграждения, подлежащего выплате, и (или) размера расходов, подлежащих компенсации: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Отсутствуют.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Сведения, указанные в настоящем пункте, не могут являться предметом соглашения о конфиденциальной информации, препятствующего их раскрытию в отчете эмитента.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2.3. Сведения об организации в эмитенте управления рисками, контроля за финансово-хозяйственной деятельностью, внутреннего контроля и внутреннего аудита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Описание организации в эмитенте управле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ния рисками, контроля за финансово-хозяйственной деятельностью, внутреннего контроля и внутреннего аудита в соответствии с уставом (учредительным документом) эмитента, внутренними документами эмитента и решениями уполномоченных органов управления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соответствии со статьей 24 Федерального закона от 02.12.1990 № 395-1 «О банках и банковской деятельности», Положением Банка России от 16.12.2003 № 242-П                      «Об организации внутреннего контроля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кредитных организациях и банковских группах» (далее – Положение Банка России № 242-П), Указанием Банка России от 15.04.2015                 № 3624-У «О требованиях к системе управления рисками и капиталом кредитной организации и банковской группы» 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созданы системы управления рисками и капиталом, внутреннего контроля.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целях контроля за финансово-хозяйственной деятельностью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функционирует система органов внутреннего контроля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». Согласно п. 97 Устава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система органов внутреннего контроля Банка включает: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органы управления Банка – Общее собрание акционеров Банка, Наблюдательный совет Банка, Правление Банка, Председатель Правления Банка;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Ревизионную комиссию Банка;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Главного бухгалтера Банка (его заместителей);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руководителя филиала Банка (его заместителей) и главного бухгалтера филиала Банка (его</w:t>
      </w:r>
      <w:r>
        <w:rPr>
          <w:rFonts w:ascii="Times New Roman" w:hAnsi="Times New Roman" w:eastAsia="Calibri" w:cs="Times New Roman"/>
          <w:color w:val="000000"/>
          <w:highlight w:val="white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заместителей);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подразделения и работников Банка, осуществляющих внутренний контроль в соответствии с полномочиями, определяемыми внутренними документами, включая: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1) Службу внутреннего аудита;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2) 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3) Ответственного сотрудника (Службу финансового мониторинга) по про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тиводействию легализации (отмыванию) доходов, полученных преступным путем, и финансированию терроризма (ПОД/ФТ), осуществляющего деятельность по организации и проведению работы по ПОД/ФТ, а также реализации правил внутреннего контроля в целях ПОД/ФТ 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4) контролера профессионального участника рынка ценных бумаг (далее – Контролер);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5) иные структурные подразделения и (или) ответственных работников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i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b/>
          <w:i/>
          <w:color w:val="000000"/>
          <w:sz w:val="24"/>
          <w:szCs w:val="24"/>
          <w:highlight w:val="white"/>
        </w:rPr>
        <w:t xml:space="preserve">В Банке функционирует система управления рисками.</w:t>
      </w:r>
      <w:r>
        <w:rPr>
          <w:rFonts w:ascii="Times New Roman" w:hAnsi="Times New Roman" w:eastAsia="Calibri" w:cs="Times New Roman"/>
          <w:b/>
          <w:i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b/>
          <w:i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Одной из основных целей управления рисками Банка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 является развитие риск-культуры и риск-ориентированной модели Банка – создание атмосферы, при которой в адекватном управлении рисками заинтересованы все работники участников Банка, культуры дисциплинированного и взвешенного отношения к принимаемым рискам.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На уровне Банка установлены процедуры, обеспечивающие контроль за соблюдением установленных лимитов. В дополнение к процед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урам контроля лимитов, используется система показателей (сигнальных значений), свидетельствующих о высокой степени использования лимитов, перечень корректирующих мероприятий в зависимости от степени приближения использования лимита к сигнальному значению,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например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снижение уровня принятого риска;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увеличение размера капитала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Информация о достижении установленных сигнальных значений, о фактах несоблюдения установленных лимитов и действиях, предпринятых для их устранения, доводится до Наблюдательного совета Банка по мере выявления указа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нных фактов в составе отчета о значимых рисках Банка. На основе информации, содержащейся в указанном отчете, уполномоченные органы Банка в рамках своей компетенции принимают и контролируют исполнение решений о реализации мер, направленных на устранение и/и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ли недопущение нарушений установленных лимитов. В частности, указанные меры могут быть направлены на совершенствование системы управления рисками, снижение уровня принятых рисков, увеличение размера капитала и корректировку показателей риск-аппетита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Основной целью формирования отчетности в рамках системы управления рисками является контроль эффективности выполнения ВПОДК, 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. достаточности капитала, соблюдения лимитов и риск-аппетита, обеспечение своевременного принятия мер для соблюдения лимитов, риск-аппетита и поддержания достаточности капитала Банка, а также раннее предупреждение нарушений установленных лимитов.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Формы отчетов разрабатываются таким образом, чтобы обеспечить возможность: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осуществлять обобщение информации по различным видам значимых рисков;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осуществлять оценку достаточности капитала и оценивать потребность в капитале на перспективу;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информировать органы управления, рабочие коллегиальные органы и подразделения участников Банка о результатах оценки достаточности капитала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комитете по аудиту Наблюдательного совета Банка, его функциях, персональном и количественном составе: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04.07.202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 акционерных обществах» и Федерального закона «О рынке ценных бумаг», согласно пункту 1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Приложения к Постановлению Правительства Российской Федерации от 04.07.2023 № 1102, информация 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персональном и количественном составе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комитета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аудиту Наблюдательного совета Банка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не раскрывается, так как в отношении АО «Россельхозбанк» действуют ограничительные меры со стороны Великобритании, США, стран ЕС, Швейцарии, Канады, Австралии, Японии и Новой Зеландии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Style w:val="1107"/>
        <w:tblW w:w="0" w:type="auto"/>
        <w:tblLook w:val="04A0" w:firstRow="1" w:lastRow="0" w:firstColumn="1" w:lastColumn="0" w:noHBand="0" w:noVBand="1"/>
      </w:tblPr>
      <w:tblGrid>
        <w:gridCol w:w="3620"/>
        <w:gridCol w:w="5725"/>
      </w:tblGrid>
      <w:tr>
        <w:tblPrEx/>
        <w:trPr>
          <w:trHeight w:val="155"/>
        </w:trPr>
        <w:tc>
          <w:tcPr>
            <w:tcW w:w="36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Председатель комитета: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725" w:type="dxa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1.</w:t>
            </w:r>
            <w:r/>
          </w:p>
        </w:tc>
      </w:tr>
      <w:tr>
        <w:tblPrEx/>
        <w:trPr>
          <w:trHeight w:val="50"/>
        </w:trPr>
        <w:tc>
          <w:tcPr>
            <w:tcW w:w="362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Члены комитета: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  <w:p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72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3.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4.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pStyle w:val="1060"/>
        <w:ind w:firstLine="709"/>
        <w:tabs>
          <w:tab w:val="left" w:pos="567" w:leader="none"/>
        </w:tabs>
        <w:rPr>
          <w:b/>
          <w:i/>
          <w:highlight w:val="yellow"/>
        </w:rPr>
      </w:pPr>
      <w:r>
        <w:rPr>
          <w:b/>
          <w:i/>
          <w:highlight w:val="yellow"/>
        </w:rPr>
      </w:r>
      <w:r>
        <w:rPr>
          <w:b/>
          <w:i/>
          <w:highlight w:val="yellow"/>
        </w:rPr>
      </w:r>
      <w:r>
        <w:rPr>
          <w:b/>
          <w:i/>
          <w:highlight w:val="yellow"/>
        </w:rPr>
      </w:r>
    </w:p>
    <w:p>
      <w:pPr>
        <w:pStyle w:val="1060"/>
        <w:ind w:firstLine="709"/>
        <w:tabs>
          <w:tab w:val="left" w:pos="567" w:leader="none"/>
        </w:tabs>
        <w:rPr>
          <w:b/>
          <w:bCs/>
          <w:i/>
          <w:iCs/>
          <w:highlight w:val="white"/>
        </w:rPr>
      </w:pPr>
      <w:r>
        <w:rPr>
          <w:b/>
          <w:i/>
          <w:highlight w:val="white"/>
        </w:rPr>
        <w:t xml:space="preserve">Функции Комитета </w:t>
      </w:r>
      <w:r>
        <w:rPr>
          <w:b/>
          <w:bCs/>
          <w:i/>
          <w:iCs/>
          <w:highlight w:val="white"/>
        </w:rPr>
        <w:t xml:space="preserve">по аудиту Наблюдательного совета:</w:t>
      </w:r>
      <w:r>
        <w:rPr>
          <w:b/>
          <w:bCs/>
          <w:i/>
          <w:iCs/>
          <w:highlight w:val="white"/>
        </w:rPr>
      </w:r>
      <w:r>
        <w:rPr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 В части внутреннего контроля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1.1. Анализ системы внутреннего контроля в Банке, методов и процедур контроля.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1.2. Оценка эффективности методов и процедур внутреннего контроля и управления рисками и подготовка предложений по совершенствованию методов и процедур внутреннего контроля.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1.3. Контроль выполнения исполнительными органами управления Банка, руководителями структурных подразделений и работниками Банка рекомендаций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Службы внутреннего аудита (далее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СВА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)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внешнего аудитора.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1.4. Обсуж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дение с исполнительными органами управления Банка, руководителями структурных подразделений, внешним аудитором и руководителем СВА наиболее существенных рисков, стоящих перед Банком, и выработка предложений по совершенствованию системы управления рисками.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1.5. Анализ эффективности системы контроля соблюдения законодательства Российской Федерации при подготовке финансовой отчетности, в части подготовки международной финансовой отчетности и соблюдения международных стандартов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финансовой отчетности (далее – МСФО), а также принимаемых исполнительными органами управления Банка мер в отношении фактов несоблюдения законодательных норм и требований, обнаруженных по результатам проверок.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1.6. Предварительное рассмотрение плана работы СВА на предстоящий/текущий год и подготовка предложений Наблюдательному совету о включении в план работы СВА вопросов, связанных с основными областями риска.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1.7. Проведение встреч с руководителем СВА для обсуждения вопросов деятельности СВА, которые, по мнению Комитета по аудиту или СВА должны обсуждаться конфиденциально.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1.8. Своевременное рассмотрение сообщений СВА о выявленных нарушениях в деятельности Банка и представленных СВА рекомендаций, а также представление Наблюдательному совету рекомендаций о мерах по устранению выявленных нарушений.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1.9. Анализ деятельности и организационной структуры СВА, и представление заключений и рекомендаций Наблюдательному совету по повышению эффективности работы СВА.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 В части подготовки финансовой отчетности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2.1. Анализ промежуточной и годовой финансовой отчетности, и результатов ее аудита (обзора) внешним аудитором и предоставление соответствующего заключения Наблюдательному совету.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2.2. Оценка соответствия состава раскрываемой Банком информации, порядка раскрытия, сроков раскрытия нормам и требованиям действующего законодательства и предоставление соответствующего заключения Наблюдательному совету.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2.3. Рассмотрение существенных вопросов бухгалтерского учета и составления отчетности, включая нормативные акты и стандарты, оценка степени их возможного влияния на финансовую отчетность и предоставление соответствующего заключения Наблюдательному совету.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2.4. Анализ применяемых исполнительными органами и подразделе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ниями Банка процедур контроля соблюдения Банком законов и других нормативных актов, стандартов МСФО (при подготовке международной финансовой отчетности), требований к финансовой отчетности и представление соответствующего заключения Наблюдательному совету.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2.5. Анализ полученных от исполнительных органов управления Банка и руководителей структурных подразделений данных по вопросам соблюдения законодательства, которые могут повлиять на финансовую отчетность Банка и выполнение требований законодательства.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2.6. Оценка объективности данных годовой и промежуточной финансовой отчетности, годовых отчетов акционерам Банка до передачи соответствующих отчетов Наблюдательному совету. При этом особое внимание должно уделяться: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tabs>
          <w:tab w:val="num" w:pos="0" w:leader="none"/>
          <w:tab w:val="left" w:pos="993" w:leader="none"/>
          <w:tab w:val="clear" w:pos="155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любым изменениям в правилах бухгалтерского учета и бухгалтерской отчетности;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tabs>
          <w:tab w:val="num" w:pos="0" w:leader="none"/>
          <w:tab w:val="left" w:pos="993" w:leader="none"/>
          <w:tab w:val="clear" w:pos="155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любым значительным изменениям/расхождениям, обнаруженным аудиторами;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709"/>
        <w:jc w:val="both"/>
        <w:spacing w:after="0" w:line="240" w:lineRule="auto"/>
        <w:tabs>
          <w:tab w:val="num" w:pos="0" w:leader="none"/>
          <w:tab w:val="left" w:pos="993" w:leader="none"/>
          <w:tab w:val="clear" w:pos="1554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соответствию бухгалтерским и другим финансовым стандартам.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2.7. Оценка достоверности раскрываемой финансовой информации,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т.ч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при публикации финансовой (бухгалтерской) отчетности.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 В части взаимодействия с внешним аудитором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3.1. Получение от внешнего аудитора плана работы по аудиту, заключений, рекомендаций.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3.2. Предоставление Наблюдательному совету, в случае необходимости, предложений о замене внешнего аудитора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3.3. Проведение оценки годового отчета и предоставление Наблюдательному совету заключения по данному документу до его вынесения Наблюдательным советом на утверждение Общего собрания акционеров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3.4. Проведение оценки заключения внешнего аудитора Банка, которая должна предоставляться в качестве материала к годовому заседанию Общего собрания акционеров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4. Рассмотрение предложений по разработке и совершенствованию внутренних документов Банка по вопросам, относящимся к компетенции Комитета по аудиту, утверждение которых отнесено к компетенции Наблюдательного совета.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 Анализ подготовки и проведения открытого конкурса по выбору внешнего аудитора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6. Предварительное, до принятия Правлением Банка решения 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проведении открытого конкурса и формировании конкурсной комиссии, представление Наблюдательному совету предложений по проекту договора, заключаемого с внешним аудитором Банка, о максимальном размере и порядке выплаты вознаграждения внешнему аудитору Банка.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7. По решению Наблюдательного совета на Комитет по аудиту могут быть возложены иные функции.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наличии отдельного структурного подразделения (подразделений) по управлению рисками и (или) внутреннему контролю, а также задачах и функциях указанного структурного подразделения (подразделений):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Департамент 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комплаенс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-контроля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– подразделение, созданное для осуществления в Банке внутреннего контроля и содействия исполнительным органам управления Банка в обеспечении эффективного функционирования Банка в области управления регуляторным риском и противодействия коррупции.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осуществляет свою деятельность в соответствии с Положением о Департаменте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(утверждено Председателем Правления Банка 30.09.2025, ранее в 2024-2025 году последовательно действовали Положения о Департаменте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-контроля, утвержденные Председателем Правления 27.12.2023, 12.07.2024, 28.04.2025). 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осуществляет функции службы внутреннего контроля, функции по противодействию коррупции и иные функции по осуществлению внутреннего контроля.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Задачи и функции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направлены на выявление, мониторинг и минимизацию регуляторного риска, в том числе обеспечение единых подходов к организации внутреннего контроля в Банке и участниках Банковской группы.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Основной задачей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является обеспечение эффективного управления регуляторным (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) риском.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целях выполнения указанной задачи 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осуществляет следующие основные функции: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выявление и мониторинг регуляторного риска Банка и Банковской группы;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учет событий, связанных с регуляторным риском, определение вероятности их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возникновения и количественная оценка возможных последствий;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анализ внедряемых в Банке новых банковских продуктов, услуг и пла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нируемых методов их реализации, а также банковских процессов, в том числе путем экспертизы проектов внутренних документов Банка, на предмет наличия регуляторного риска и включения в указанные документы необходимых механизмов управления регуляторным риском;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подготов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ка и направление предложений и рекомендаций исполнительным органам Банка, руководителям Банка, осуществляющим курирование работы подразделений Банка, подразделениям Банка по вопросам управления регуляторным риском и его минимизации, контроль их реализации;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координация и участие в разработке комплекса мер, направленных на снижение уровня регуляторного риска в Банке и Банковской группе;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мониторинг эффективности управления регуляторным риском Банка и Банковской группы;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 участие в разработке и актуализации (проведение экспертизы) внутренних документов Банка с целью включения в них мер, обеспечивающих функционирование системы внутреннего контроля, включая механизмы управления регуляторным риском, Банка и Банковской группы;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консультирование и информирование подразделений Банка по вопросам организации и функционирования системы внутреннего контроля, включая вопросы управления регуляторным риском;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выявление конфликтов интересов в деятельности Банка и работников Банка, участие в разработке внутренних документов, направленных на его минимизацию;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анализ поступающей от ССП Банка информации по жалобам (обращениям, заявлениям)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клиентов: на предмет показателей динамики жалоб и соблюдения Банком прав клиентов;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участие в разработке внутренних документов, направленных на противодействие коммерческому подкупу и коррупции;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участие в разработке внутренних документов и организации мероприятий, направленных на соблюдение правил корпоративного поведения, норм профессиональной этики;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участие во взаимодействии Банка с надзорными органами, саморегулируемыми организациями, ассоциациями и участниками финансовых рынков в рамках компетенции Подразделения;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мониторинг изменений законодательства Российской Федерации, нормативных актов Банка России, стандартов саморегулируемых о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рганизаций (если такие стандарты или правила являются обязательными для Банка), своевременная разработка/актуализация внутренних документов Банка, регламентирующих вопросы, относящиеся к зоне ответственности Подразделения, в связи с указанными изменениями;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определение порядка организации и технологии проведения работы по обеспечению соответствия Банка требованиям законодательства о налогообложении иностранных счетов, включая разработку и сопровождение внутренних документов в данной области;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организация и проведение работы в целях выполнения Банком требований законодательства Российской Федерации в области персональных данных;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иные функции, связанные с управлением регуляторным риском, предусмотренные внутренними документами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С учетом пункта 4(1) Положения Банка России № 242-П функции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в области управления регулят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орным риском могут выполняться работниками иных структурных подразделений Банка в соответствии с распределением обязанностей между указанными структурными подразделениями Банка по осуществлению внутреннего контроля, установленным Положением о Департаменте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-контроля, и полномочиями, определенными внутренними документами.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По состоянию на 01 января 2026 года штатная численность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составила 76 штатных единицы.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Срок работы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-контроля: 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осуществляет свою деятельность 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 12.07.2018. В период с 16.04.2018 по 11.07.2018 в Банке осуществлял свою деятельность Департамент внутреннего контроля и финансового мониторинга. В период с 15.04.2000 по 15.04.2018 в Банке осуществляла свою деятельность Служба внутреннего контроля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Контролер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Контролер входит в состав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-контроля, подотчетен Председателю Правления Банка и независим в своей деятельности от других подразделений Банка, в том числе осуществляющих и оформляющих сделки и операции на рынке ценных бумаг.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Задачи и функции Контролера направлены на контроль за соответствием деятельности Банка в качестве профессионального участника рынка ценных бумаг требованиям законодательства Российской Федерации о ценных бумагах и нормативных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актов Банка России в отношении деятельности Банка на финансовых рынках, законодательства Российской Федерации о защите прав и законных интересов инвесторов на рынке ценных бумаг, законодательства Российской Федерации о рекламе, внутренних документов Банка.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highlight w:val="yellow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Департамент рисков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yellow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yellow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Банке функционирует Департамент рисков, который является самостоятельным структурным подразделением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Департамент рисков осуществляет функции, связанные с управлением рисками в целом по Банку, и иные функции, направленные на решение следующих задач: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Разработка и актуализация внутренних документов Банка, регламентирующих вопросы, относящиеся к зоне ответственности Департамента рисков.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Мониторинг изменен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ий законодательства Российской Федерации, нормативных актов Банка России, своевременная разработка/актуализация внутренних документов Банка, регламентирующих вопросы, относящиеся к зоне ответственности Департамента рисков, в связи с указанными изменениями.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Участие в проектах, относящихся к зоне ответственности.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Подготовка/участие в подготовке ответов на запросы Банка России, других государственных органов и организаций, регулирующих органов, внешних контролирующих органов/аудиторов, а также подразделений Банка в пределах компетенции Департамента рисков.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Формирование методологии управления рисками деятельности Банка. 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Оценка рисков, в том числе на консолидированном уровне, разработка мер по их минимизации.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Идентификация и выявление значимых и потенциальных рисков Банка, оценка и агрегирование рисков Банка, 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. в рамках проведения экспертизы сделок, несущих риски.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Оценка потребности Банка в капитале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для покрытия рисков (за исключением расчета показателей достаточности капитала в соответствии с требованиями Банка России), включая оценку плановых (целевых) уровней и структуры рисков, исходя из показателей развития бизнеса, предусмотренных бизнес-планом.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Последующий контроль соблюдения лимитов рисков и контроль риск-аппетита (за исключением значений обязательных нормативов достаточности капитала Банка).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shd w:val="clear" w:color="ffffff" w:themeColor="background1" w:fill="ffffff" w:themeFill="background1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наличии структурного подразделения (должностного лица), ответственного за организацию и осуществление внутреннего аудита, а также задачах и функциях указанного структурного подразделения (должностного лица):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Calibri" w:cs="Times New Roman"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pP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  <w:t xml:space="preserve">Служба внутреннего аудита</w:t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  <w:r>
        <w:rPr>
          <w:rFonts w:ascii="Times New Roman" w:hAnsi="Times New Roman" w:eastAsia="Calibri" w:cs="Times New Roman"/>
          <w:b/>
          <w:color w:val="000000"/>
          <w:sz w:val="24"/>
          <w:szCs w:val="24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Служба внутреннего аудита – подразделение, созданное для осуществления внутреннего контроля в Банке.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Служба внутреннего аудита осуществляет свою деятельность в соответствии с Положением о Службе внутреннего аудита (утверждено решением Наблюдательного совета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», Протокол № 14 от 30.09.2014, изменения утверждены решением Наблюдательного совета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», Протокол № 21 от 16.10.2015, Протокол № 18 от 25.09.2018).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Положением о Службе внутреннего аудита к задачам Службы внутреннего аудита отнесены: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контроль за функционированием системы внутреннего контроля и системы управления рисками Банка и организаций Группы Банка;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мониторинг системы внутреннего контроля Банка. 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Исходя из поставленных целей и задач, за Службой внутреннего аудита закреплены следующие функции: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и оценка эффективности системы внутреннего контроля в целом, выполнения решений органов управления Банка (Общего собрания акционеров Банка, Наблюдательного совета Банка, Правления, Председателя Правления Банка);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эффективности методологии оценки банковских рисков и процед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ур управления банковскими рисками, установленных внутренними документами Банка (методиками, программами, правилами, порядками и процедурами совершения банковских операций и сделок, управления банковскими рисками), и полноты применения указанных документов;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надежности функционирования системы вну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треннего контроля за использованием автоматизированных информационных систем, включая контроль целостности баз данных и их защиты от несанкционированного доступа и (или) использования, с учетом мер, принятых на случай нестандартных и чрезвычайных ситуаций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планом действий, направленных на обеспечение непрерывности деятельности и (или) восстановление деятельности Банка в случае возникновения нестандартных и чрезвычайных ситуаций;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и тестирование достоверности, полноты и своевременности бухгалтерского учета и отчетности, а также надежности (включая достоверность, полноту и своевременность) сбора и представления информации и отчетности;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применяемых способов (методов) обеспечения сохранности имущества Банка;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оценка экономической целесообразности и эффективности совершаемых Банком операций и других сделок;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процессов и процедур внутреннего контроля;</w:t>
      </w:r>
      <w:r>
        <w:rPr>
          <w:rFonts w:ascii="Times New Roman" w:hAnsi="Times New Roman" w:cs="Times New Roman"/>
          <w:highlight w:val="white"/>
          <w:u w:val="single"/>
        </w:rPr>
      </w:r>
      <w:r>
        <w:rPr>
          <w:rFonts w:ascii="Times New Roman" w:hAnsi="Times New Roman" w:cs="Times New Roman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проверка деятельности подразделения Банка, осуществляющего функции службы внутреннего контроля, и подразделений по управлению рисками Банка;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иные функции, предусмотренные внутренними документами Банка.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состоянию на 01 января 2026 года штатная численность Службы внутреннего аудита составила 124 штатных единиц.</w:t>
      </w:r>
      <w:r>
        <w:rPr>
          <w:rFonts w:ascii="Times New Roman" w:hAnsi="Times New Roman" w:cs="Times New Roman"/>
          <w:highlight w:val="white"/>
        </w:rPr>
      </w:r>
      <w:r>
        <w:rPr>
          <w:rFonts w:ascii="Times New Roman" w:hAnsi="Times New Roman" w:cs="Times New Roman"/>
          <w:highlight w:val="whit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709" w:leader="none"/>
          <w:tab w:val="left" w:pos="1134" w:leader="none"/>
        </w:tabs>
        <w:rPr>
          <w:rFonts w:ascii="Times New Roman" w:hAnsi="Times New Roman" w:eastAsia="Calibri" w:cs="Times New Roman"/>
          <w:bCs/>
          <w:sz w:val="24"/>
          <w:szCs w:val="24"/>
          <w:highlight w:val="yellow"/>
        </w:rPr>
      </w:pPr>
      <w:r>
        <w:rPr>
          <w:rFonts w:ascii="Times New Roman" w:hAnsi="Times New Roman" w:eastAsia="Calibri" w:cs="Times New Roman"/>
          <w:bCs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Cs/>
          <w:sz w:val="24"/>
          <w:szCs w:val="24"/>
          <w:highlight w:val="yellow"/>
        </w:rPr>
      </w:r>
      <w:r>
        <w:rPr>
          <w:rFonts w:ascii="Times New Roman" w:hAnsi="Times New Roman" w:eastAsia="Calibri" w:cs="Times New Roman"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наличии и компетенции ревизионной комиссии (ревизора):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Для осуществления контроля за финансово-хозяйственной деятельностью Банка Общим собранием акционеров Банка избирается Ревизионная комиссия Банка. Количественный со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став Ревизионной комиссии определяется Общим собранием акционеров Банка, но не менее трех человек. Члены Ревизионной комиссии Банка не могут быть одновременно членами Наблюдательного совета Банка, а также занимать иные должности в органах управления Банка.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Из своего состава Ревизионная комиссия избирает Председателя и секретаря Ревизионной комиссии.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  <w:u w:val="single"/>
        </w:rPr>
        <w:t xml:space="preserve">Компетенция: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</w:r>
      <w:r>
        <w:rPr>
          <w:rFonts w:ascii="Times New Roman" w:hAnsi="Times New Roman" w:cs="Times New Roman"/>
          <w:bCs/>
          <w:sz w:val="24"/>
          <w:szCs w:val="24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Ревизионная комиссия Банка осуществляет проверку (ревизию) финансово-хозяйственной деятельности Банка по итогам его деятельности за год, а также может осуществлят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ь проверки (ревизии) во всякое время по своей инициативе, по решению Общего собрания акционеров Банка, Наблюдательного совета Банка или по требованию акционера (акционеров) Банка, владеющего в совокупности не менее чем 10 процентами голосующих акций Банка.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Ревизионная комиссия Банка предоставляет Общему собранию акционеров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отчет о проведенной ревизии, а также заключение о соответствии представленных на утверждение годового отчета и годовой бухгалтерской (финансовой) отчетности Банка действительному состоянию дел в Банке с рекомендациями по устранению выявленных недостатков. 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результат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ам проверк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 при возникновении угрозы интересам Банка или его вкладчикам, или выявлении злоупотреблений должностных лиц, Ревизионная комиссия вправе потребовать созыва внеочередного заседания Общего собрания акционеров Банка в соответствии с установленными правилами.</w:t>
      </w:r>
      <w:r>
        <w:rPr>
          <w:rFonts w:ascii="Times New Roman" w:hAnsi="Times New Roman" w:cs="Times New Roman"/>
          <w:bCs/>
          <w:highlight w:val="white"/>
        </w:rPr>
      </w:r>
      <w:r>
        <w:rPr>
          <w:rFonts w:ascii="Times New Roman" w:hAnsi="Times New Roman" w:cs="Times New Roman"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политике эмитента в области управления рисками, внутреннего контроля и внутреннего аудита, а также о наличии внутреннего документа эмитента, устанавливающего правила по предотвращению неправомерного использования конфиденциальной и инсайдерской информации: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Внутренний контроль осуществляется субъектами системы внутреннего контроля в соответствии с полномочиями, определенными Уставом и внутренними документами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действует комплекс внутренних документов по системе внутреннего контроля, принятых в соответствии с Приложением 2 к Положению Банка России № 242-П. Деятельность Департамента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и Службы внутреннего аудита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регламентируется принятыми согласно Положению Банка России № 242-П соответственно Положением о Департаменте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 и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Положением о Службе внутреннего аудита Банка. Также Наблюдательным советом Банка утверждены следующие документы: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1. Политика в области управления регуляторным риском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(Протокол заседания Наблюдательного совета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15.09.2015 № 18, приказ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29.09.2015 № 809-ОД);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2. Порядок предотвращения конфликтов интересов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№ 538-П (Протокол заседания Наблюдательного совета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25.12.2015 № 27, приказ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30.12.2015 № 1070-ОД).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Функциониров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ание системы управления рисками Банка осуществляется в соответствии с Указанием Банка России от 15.04.2015 № 3624-У «О требованиях к системе управления рисками и капиталом кредитной организации и банковской группы» на основании внутренних документов Банка.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Наблюдательным советом Банка утверждены основополагающие документы по управлению рисками Банка: Политика управления рисками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и Стратегия управления рисками и капиталом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Оперативное управление рисками ос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уществляется Правлением, Председателем Правления, Комитетом по управлению рисками и иными коллегиальными рабочими органами Банка, а также отдельными структурными подразделениями и должностными лицами Банка в соответствии с предоставленными им полномочиями.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Независимый анализ и оценку рисков осуществляют профильные подразделения Банка – Департамент рисков и службы оценки и контроля рисков в региональных филиалах и единых сервисных центрах Банка. В компетенцию Департамента рисков входит методологическое об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еспечение системы управления рисками, внедрение принципов и методов идентификации, оценки, мониторинга и контроля финансовых рисков (кредитный, рыночный, процентный, риск потери ликвидности), а также операционного риска, в том числе на региональном уровне.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Кроме того, функции по управлению отдельными видами рисков осуществляют прочие профильные подразделения Банка: Правовой департамент, Департамент стратегического развития, </w:t>
      </w:r>
      <w:r>
        <w:rPr>
          <w:rFonts w:ascii="Times New Roman" w:hAnsi="Times New Roman" w:eastAsia="Times New Roman" w:cs="Times New Roman"/>
          <w:iCs/>
          <w:sz w:val="24"/>
          <w:szCs w:val="24"/>
        </w:rPr>
        <w:t xml:space="preserve">Департамент общественных связей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,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Департамент внутреннего казначейства, Департамент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-контроля, Центр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валидации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 и управления модельным риском.</w:t>
      </w:r>
      <w:r>
        <w:rPr>
          <w:rFonts w:ascii="Times New Roman" w:hAnsi="Times New Roman" w:eastAsia="Calibri" w:cs="Times New Roman"/>
          <w:color w:val="000000"/>
          <w:highlight w:val="white"/>
        </w:rPr>
      </w:r>
      <w:r>
        <w:rPr>
          <w:rFonts w:ascii="Times New Roman" w:hAnsi="Times New Roman" w:eastAsia="Calibri" w:cs="Times New Roman"/>
          <w:color w:val="000000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В целях предотвращения неправомерного использования конфиденциальной и инсайдерской информации 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утверждены внутренние документы: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Условия совершения операций с финансовыми инструментами инсайдерами и связанными с ними лицами (Протокол заседания Наблюдательного совета                                           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26.06.2019 № 15);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Порядок раскрытия инсайдерской информации (отдельных видов инсайдерской информации)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», не включенной в утвержденный Банком России перечень инсайдерской информации № 651-П (Протокол заседания Наблюдательного совета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30.09.2019 №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20)*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Правила внутреннего контроля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по предотвращению, выявлению и пресечению неправомерного использования инсайдерской информации и (или) манипулирования рынком № 665-П (Протокол заседания Правления от 25.12.2025 № 80, введены в действие приказом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29.12.2025 № 2488-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ОД)*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Перечень информации, составляющей коммерческую тайну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(Приказ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17.06.2020 № 930-ОД) и Инструкция по соблюдению режима коммерческой тайны 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№ 12-И (Приказ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17.06.2020 № 930-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ОД)*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- Порядок защиты конфиденциальных сведений, не отнесенных к коммерческой тайне, и персональных данных в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№ 203-П (Приказ                                               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02.06.2020 № 811-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ОД)*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*Данные документы не размещены в свободном доступе в сети Интернет ввиду того, что они содержат информацию, являющуюся коммерческой тайной, и ее раскрытие может негативно повлиять на конкурентоспособность Банка.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Адрес страницы в сети интернет, на которой в свободном доступе размещен Перечень инсайдерской информации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», порядок и сроки ее раскрытия (Приказ АО «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» от 30.09.2025 № 1836-ОД): </w:t>
      </w:r>
      <w:hyperlink w:history="1">
        <w:r>
          <w:rPr>
            <w:rFonts w:ascii="Times New Roman" w:hAnsi="Times New Roman" w:eastAsia="Calibri" w:cs="Times New Roman"/>
            <w:color w:val="000000"/>
            <w:sz w:val="24"/>
            <w:szCs w:val="24"/>
            <w:highlight w:val="white"/>
          </w:rPr>
          <w:t xml:space="preserve"> https://www.rshb.ru/about/insider.</w:t>
        </w:r>
      </w:hyperlink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  <w:t xml:space="preserve">Политика Банка в области управления рисками строится на следующих принципах: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Учет всей совокупности рисков при принятии решений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Принятие Банком управленческих решен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ий и решений о проведении операций, несущих риски, осуществляется после всестороннего анализа возникающих рисков (включая идентификацию и оценку рисков) с учетом оценки возможного влияния на совокупный объем рисков и определения методов управления рисками.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Проведение Банком опер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аций, несущих риски, осуществляется в рамках требований, установленных внутренними документами и решениями органов управления и рабочих коллегиальных органов Банка. Порядок проведения операций включает процедуры управления рисками соответствующих операций.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Независимость подразделений управления рисками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Полномочия по принятию решений о совершении операций, несущих риски, и управлению рисками разделяются между органами управления,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коллегиальными  рабочими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органами, подразделениями и работниками Банка. В функциональных моделях и организационной структуре Банка выделены подразделения/работники, ответственные за выполнение следующих функций: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осуществление операций, несущих риски;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бухгалтерский учет операций;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управление рисками, 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. отдельными видами рисков;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независимая оценка, мониторинг и контроль рисков.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Подразделения/работники Банка, ответственные за управление, независимую оценку и контроль рисков, включены в процесс принятия как стратегических, так и операционных решений.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Принцип «трех линий защиты» 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Бизнес-подразделения Банка (первая линия защит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ы) при рассмотрении и совершении операций, несущих риски, следуют поставленным целям по соотношению доходности и риска, учитывают профили рисков клиентов/операций, участвуют в идентификации и оценке рисков, соблюдают требования внутренних документов Банка.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Подразделения Банка, ответственные за управление, независимую оценку и контроль рисков (вторая линия защиты), определяют регламентные процедуры, предусматри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вающие формирование принципов и стандартов управления рисками, использование инструментов для минимизации/снижения принимаемых рисков, проводят экспертизу с целью их идентификации, оценку, мониторинг уровня рисков и готовят отчетность о принимаемых рисках.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Служба внутреннего аудита/подразделение внутреннего аудита Банка (третья линия защиты) осуществляет независимую оценку соответствия системы управления рисками Банка установленным стандартам, оценку решений по принятию рисков.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Сочетание централизованного и децентрализованного управления рисками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Управление рисками Банка осуществляется с использованием централизованного и децентрализованного подходов.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Централизованный подход означает, что участники Группы самостоятельно не осуществляют управления рисками, управление рисками участников Группы осуществляет Банк.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Децентрализованный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подход означает, что участники Группы самостоятельно осуществляют управление рисками в рамках подходов и ограничений, установленных внутренними документами участников Группы и решениями органов управления и рабочих коллегиальных органов участников Группы.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Управление рисками на уровне Группы в целом осуществляет Банк.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Обеспечение необходимыми ресурсами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Банк обеспечивают функционирование системы управления рисками достаточными ресурсами для осуществления оценки и контроля рисков, 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. квалифицированными специалистами и работниками, техническими средствами, достаточными для обеспечения необходимому количеству пользователей доступа к информационным системам и информационным ресурсам.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Инфраструктура управления рисками (в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. информационные и автоматизированные системы) учитывает направления деятельности Банка, сложность и виды совершаемых операций, территориальное расположение и обеспечивает своевременную идентификацию и эффективное управление рисками.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highlight w:val="white"/>
          <w:u w:val="singl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u w:val="single"/>
        </w:rPr>
        <w:t xml:space="preserve">Совершенствование системы управления рисками</w:t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  <w:r>
        <w:rPr>
          <w:rFonts w:ascii="Times New Roman" w:hAnsi="Times New Roman" w:eastAsia="Calibri" w:cs="Times New Roman"/>
          <w:color w:val="000000"/>
          <w:highlight w:val="white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Система управления рисками Банка совершенствуется на постоянной основе с учетом: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возможных изменений стратегии развития Банка;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нормативно-правовых актов Российской Федерации, регулирующих требования к системе управления рисками;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требований и рекомендаций Банка России по организации системы управления рисками и ВПОДК;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положений Базель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II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/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</w:rPr>
        <w:t xml:space="preserve">III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 и лучших банковских практик по организации управления рисками.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pStyle w:val="1067"/>
        <w:numPr>
          <w:ilvl w:val="0"/>
          <w:numId w:val="5"/>
        </w:numPr>
        <w:ind w:left="0" w:firstLine="360"/>
        <w:jc w:val="both"/>
        <w:spacing w:after="0" w:line="240" w:lineRule="auto"/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Банк не реже одного раза в год оценивают соответствие системы управления рисками текущим условиям их деятельности, в 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т.ч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  <w:t xml:space="preserve">. проводят ее анализ на предмет охвата всех операций, несущих риски, и проводят актуализацию системы управления рисками.</w:t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  <w:r>
        <w:rPr>
          <w:rFonts w:ascii="Times New Roman" w:hAnsi="Times New Roman" w:eastAsia="Calibri" w:cs="Times New Roman"/>
          <w:color w:val="000000"/>
          <w:sz w:val="24"/>
          <w:szCs w:val="24"/>
          <w:highlight w:val="white"/>
          <w:lang w:val="ru-RU"/>
        </w:rPr>
      </w:r>
    </w:p>
    <w:p>
      <w:pPr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  <w:r>
        <w:rPr>
          <w:rFonts w:ascii="Times New Roman" w:hAnsi="Times New Roman" w:cs="Times New Roman"/>
          <w:sz w:val="24"/>
          <w:szCs w:val="24"/>
          <w:highlight w:val="yellow"/>
          <w:u w:val="singl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В период между отчетной датой (01.01.2026) и датой составления консолид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 (23.03.2026) в составе информации, приведенной в пункте 2.3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2.4. Информация о лицах, ответственных в эмитенте за организацию и осуществление управления рисками, контроля за финансово-хозяйственной деятельностью и внутреннего контроля, внутреннего аудита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540"/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04.07.202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бумаг», согласно пункту 2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Приложения к Постановлению Правительства Российской Федерации от 04.07.2023 № 1102, информация в данном пун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кте не раскрывается, так как в отношении АО «Россельхозбанк» действуют ограничительные меры со стороны Великобритании, США, стран ЕС, Швейцарии, Канады, Австралии, Японии и Новой Зеландии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540"/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yellow"/>
        </w:rPr>
      </w:r>
    </w:p>
    <w:p>
      <w:pPr>
        <w:ind w:firstLine="540"/>
        <w:jc w:val="center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Ревизионная комиссия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По состоянию на 01.01.2026 действовал следующий состав Ревизионной комиссии Банка, избранный решением годового заседания Общего собрания акционеров Банка 30.06.2025</w:t>
      </w:r>
      <w:r>
        <w:rPr>
          <w:rStyle w:val="1118"/>
          <w:rFonts w:ascii="Times New Roman" w:hAnsi="Times New Roman" w:eastAsia="Times New Roman" w:cs="Times New Roman"/>
          <w:bCs/>
          <w:sz w:val="24"/>
          <w:szCs w:val="24"/>
          <w:highlight w:val="white"/>
        </w:rPr>
        <w:footnoteReference w:id="9"/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, состоящий из 5 членов: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rPr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  <w:t xml:space="preserve">1.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09"/>
        <w:gridCol w:w="6199"/>
      </w:tblGrid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Ревизионной комиссии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9"/>
        </w:trPr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08"/>
        <w:gridCol w:w="1760"/>
        <w:gridCol w:w="3163"/>
        <w:gridCol w:w="2825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8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3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членом рев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изионной комиссии (ревизором)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привлечении члена ревизионной комиссии (ревизора) эмитента к админис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членом ревизионной комиссии (ревизором)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0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09"/>
        <w:gridCol w:w="6199"/>
      </w:tblGrid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Ревизионной комиссии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599"/>
        <w:gridCol w:w="1760"/>
        <w:gridCol w:w="3106"/>
        <w:gridCol w:w="2891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2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68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221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89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2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членом рев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изионной комиссии (ревизором)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привлечении члена ревизионной комиссии (ревизора) эмитента к админис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членом ревизионной комиссии (ревизором)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1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09"/>
        <w:gridCol w:w="6199"/>
      </w:tblGrid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Ревизионной комиссии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06"/>
        <w:gridCol w:w="1760"/>
        <w:gridCol w:w="3160"/>
        <w:gridCol w:w="2830"/>
      </w:tblGrid>
      <w:tr>
        <w:tblPrEx/>
        <w:trPr>
          <w:trHeight w:val="1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членом рев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изионной комиссии (ревизором)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члена ревизионной комиссии (ревизора) эмитента к админис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членом ревизионной комиссии (ревизором)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2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09"/>
        <w:gridCol w:w="6199"/>
      </w:tblGrid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Ревизионной комиссии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09"/>
        <w:gridCol w:w="1760"/>
        <w:gridCol w:w="3162"/>
        <w:gridCol w:w="2825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09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5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членом рев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изионной комиссии (ревизором)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члена ревизионной комиссии (ревизора) эмитента к админис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членом ревизионной комиссии (ревизором)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3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5.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tbl>
      <w:tblPr>
        <w:tblW w:w="0" w:type="auto"/>
        <w:tblInd w:w="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09"/>
        <w:gridCol w:w="6199"/>
      </w:tblGrid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Персональный состав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Ревизионной комиссии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3009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10"/>
        <w:gridCol w:w="1760"/>
        <w:gridCol w:w="3160"/>
        <w:gridCol w:w="2826"/>
      </w:tblGrid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00"/>
        </w:trPr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членом рев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изионной комиссии (ревизором)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члена ревизионной комиссии (ревизора) эмитента к админис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членом ревизионной комиссии (ревизором)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4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Руководитель Службы внутреннего аудита: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2700"/>
        <w:gridCol w:w="6296"/>
      </w:tblGrid>
      <w:tr>
        <w:tblPrEx/>
        <w:trPr>
          <w:trHeight w:val="357"/>
        </w:trPr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722"/>
        <w:gridCol w:w="1760"/>
        <w:gridCol w:w="2902"/>
        <w:gridCol w:w="3338"/>
      </w:tblGrid>
      <w:tr>
        <w:tblPrEx/>
        <w:trPr>
          <w:jc w:val="center"/>
          <w:trHeight w:val="390"/>
        </w:trPr>
        <w:tc>
          <w:tcPr>
            <w:tcW w:w="1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9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 должности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организации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W w:w="1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9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3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125"/>
        </w:trPr>
        <w:tc>
          <w:tcPr>
            <w:tcW w:w="172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290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338" w:type="dxa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tbl>
      <w:tblPr>
        <w:tblW w:w="99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8101"/>
        <w:gridCol w:w="1245"/>
        <w:gridCol w:w="566"/>
      </w:tblGrid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10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руководите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лем Службы внутреннего аудита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привлечении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руководителя Службы внутреннего аудита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эмитента к админис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ии руководителем Службы внутреннего аудита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5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b/>
          <w:bCs/>
          <w:highlight w:val="white"/>
        </w:rPr>
        <w:outlineLvl w:val="0"/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Директор Департамента 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-контроля: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tbl>
      <w:tblPr>
        <w:tblW w:w="8996" w:type="dxa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700"/>
        <w:gridCol w:w="6296"/>
      </w:tblGrid>
      <w:tr>
        <w:tblPrEx/>
        <w:trPr/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 рождения: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2700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29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7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1722"/>
        <w:gridCol w:w="1760"/>
        <w:gridCol w:w="3097"/>
        <w:gridCol w:w="3143"/>
      </w:tblGrid>
      <w:tr>
        <w:tblPrEx/>
        <w:trPr>
          <w:jc w:val="center"/>
          <w:trHeight w:val="390"/>
        </w:trPr>
        <w:tc>
          <w:tcPr>
            <w:tcW w:w="1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0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W w:w="17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09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31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  <w:trHeight w:val="509"/>
        </w:trPr>
        <w:tc>
          <w:tcPr>
            <w:tcW w:w="172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09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W w:w="3143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984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034"/>
        <w:gridCol w:w="1245"/>
        <w:gridCol w:w="566"/>
      </w:tblGrid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8034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директором Департамента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-контроля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привлечении директора Департамента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-контроля эмитента к админис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тративной ответственности за правонарушения в области финансов, налогов и сборов, страхования, рынка ценных бумаг или к уголовной ответственности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привлекался.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занятии директором Департамента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комплаенс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-контроля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банкротства, предусмотренных </w:t>
      </w:r>
      <w:hyperlink r:id="rId36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Директор Департамента рисков: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W w:w="8877" w:type="dxa"/>
        <w:tblInd w:w="4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2678"/>
        <w:gridCol w:w="6199"/>
      </w:tblGrid>
      <w:tr>
        <w:tblPrEx/>
        <w:trPr/>
        <w:tc>
          <w:tcPr>
            <w:tcW w:w="2678" w:type="dxa"/>
            <w:textDirection w:val="lrTb"/>
            <w:noWrap w:val="false"/>
          </w:tcPr>
          <w:p>
            <w:pPr>
              <w:pStyle w:val="1071"/>
              <w:spacing w:before="0" w:after="0"/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Фамилия, имя, отчество: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0"/>
        </w:trPr>
        <w:tc>
          <w:tcPr>
            <w:tcW w:w="2678" w:type="dxa"/>
            <w:textDirection w:val="lrTb"/>
            <w:noWrap w:val="false"/>
          </w:tcPr>
          <w:p>
            <w:pPr>
              <w:pStyle w:val="1071"/>
              <w:spacing w:before="0" w:after="0"/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Год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рождения</w:t>
            </w:r>
            <w:r>
              <w:rPr>
                <w:sz w:val="24"/>
                <w:szCs w:val="24"/>
                <w:highlight w:val="white"/>
              </w:rPr>
              <w:t xml:space="preserve">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75"/>
        </w:trPr>
        <w:tc>
          <w:tcPr>
            <w:tcW w:w="2678" w:type="dxa"/>
            <w:textDirection w:val="lrTb"/>
            <w:noWrap w:val="false"/>
          </w:tcPr>
          <w:p>
            <w:pPr>
              <w:pStyle w:val="1071"/>
              <w:spacing w:before="0" w:after="0"/>
              <w:widowControl/>
              <w:rPr>
                <w:sz w:val="24"/>
                <w:szCs w:val="24"/>
                <w:highlight w:val="white"/>
                <w:lang w:val="ru-RU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сведения об уровне образования, квалификации, специальности:</w:t>
            </w:r>
            <w:r>
              <w:rPr>
                <w:sz w:val="24"/>
                <w:szCs w:val="24"/>
                <w:highlight w:val="white"/>
                <w:lang w:val="ru-RU"/>
              </w:rPr>
            </w:r>
            <w:r>
              <w:rPr>
                <w:sz w:val="24"/>
                <w:szCs w:val="24"/>
                <w:highlight w:val="white"/>
                <w:lang w:val="ru-RU"/>
              </w:rPr>
            </w:r>
          </w:p>
        </w:tc>
        <w:tc>
          <w:tcPr>
            <w:tcW w:w="6199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Должности, занимаемые в эмитенте и в органах управления других организаций, за последние три года в хронологическом порядке, в том числе по совместительству: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1610"/>
        <w:gridCol w:w="1760"/>
        <w:gridCol w:w="3160"/>
        <w:gridCol w:w="2826"/>
      </w:tblGrid>
      <w:tr>
        <w:tblPrEx/>
        <w:trPr>
          <w:trHeight w:val="26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назначения (избрания) на должность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Дата увольнения (освобождения от занимаемой должности)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Наименование должности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Полное фирменное наименование организации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1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7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3160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6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0"/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7897"/>
        <w:gridCol w:w="1022"/>
        <w:gridCol w:w="566"/>
      </w:tblGrid>
      <w:tr>
        <w:tblPrEx/>
        <w:trPr>
          <w:trHeight w:val="164"/>
        </w:trPr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 в уставном  капитале 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эмитента: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эмитента каждой категории (типа), которые могут быть приобретены в результате конвертации принадлежащих ценных бумаг, конвертируемых в акции: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участия в уставном капитале подконтрольных эмитенту организаций, имеющих для него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Доля принадлежащих обыкновенных акций подконтрольных эмитенту акционерных обществ, имеющих для эмитента существенное значение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7905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Количество акций указанных акционерных обществ каждой категории (типа), которые могут быть приобретены в результате конвертации принадлежащих ценных бумаг, конвертируемых в акции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1023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566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шт.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Характер родственных связей (супруги, родители, дети, усыновители, усыновленные, родные братья и сестры, дедушки, бабушки, внуки) между 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иректором Департамента рисков эмитента и членами совета директоров (наблюдательного совета) эмитента, членами коллегиального исполнительного органа эмитента, лицом, занимающим должность (осуществляющим функции) единоличного исполнительного органа эмитента: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Родственных связей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привлечении директора Департамента рисков эмитента к админис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тративной ответственно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сти за правонарушения в области финансов, налогов и сборов, страхования, рынка ценных бумаг или к уголовной ответственности                       (о наличии судимости) за преступления в сфере экономики и (или) за преступления против государственной власти:</w:t>
      </w:r>
      <w:r>
        <w:rPr>
          <w:rFonts w:ascii="Times New Roman" w:hAnsi="Times New Roman" w:cs="Times New Roman"/>
          <w:b/>
          <w:i/>
          <w:highlight w:val="white"/>
        </w:rPr>
      </w:r>
      <w:r>
        <w:rPr>
          <w:rFonts w:ascii="Times New Roman" w:hAnsi="Times New Roman" w:cs="Times New Roman"/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 административной или уголовной ответственности не привлекалась.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Сведения о занятии директором Департамента рисков эмитента должностей в органах управления коммерческих организаций в период, когда в отношении указанных организаций было возбуждено дело о банкротстве и (или) введена одна из процедур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банкротства, предусмотренных </w:t>
      </w:r>
      <w:hyperlink r:id="rId37" w:tooltip="consultantplus://offline/ref=98C20B2F23BA14A1FE4E5A380726BC0B8085172604ADD958991E7860CCB8C631B84F296BE8CF14CF2D5B1814E9FA119740BF9C57C05D7DJ" w:history="1">
        <w:r>
          <w:rPr>
            <w:rFonts w:ascii="Times New Roman" w:hAnsi="Times New Roman" w:cs="Times New Roman"/>
            <w:b/>
            <w:bCs/>
            <w:i/>
            <w:iCs/>
            <w:sz w:val="24"/>
            <w:szCs w:val="24"/>
            <w:highlight w:val="white"/>
          </w:rPr>
          <w:t xml:space="preserve">статьей 27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Федерального закона                                              «О несостоятельности (банкротстве)»:</w:t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Должностей в органах управления коммерческих организаций в указанный период не занимала.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В период между отчетной датой (01.01.2026) и датой составления консолид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 (23.03.2026) в составе информации, приведенной в пункте 2.4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540"/>
        <w:jc w:val="center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2.5. Сведения о любых обязательствах эмитента перед работниками эмитента и работниками подконтрольных эмитенту организаций, касающихся возможности их участия в уставном капитале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Эмитент 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подконтрольные эмитенту организации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 не имеют перед работниками соглашений или обязательств,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предусматривающих право участия работников Эмитента и работников подконтрольных Эмитенту организаций в его уставном капитале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  <w:t xml:space="preserve">Сведения о соглашениях или обязательствах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Отсутствуют.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ind w:firstLine="709"/>
        <w:jc w:val="both"/>
        <w:spacing w:before="240"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  <w:t xml:space="preserve">Сведения о предоставлении или возможности предоставления работникам эмитента и работникам подконтрольных эмитенту организаций опционов эмитента: 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Предоставление или возможность предоставления работникам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эмитента и работникам подконтрольных эмитенту организаций 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опционов Эмитента не предусмотрена.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В период между отчетной датой (01.01.2026) и датой составления консолид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 (23.03.2026) в составе информации, приведенной в пункте 2.5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/>
      <w:bookmarkStart w:id="14" w:name="Par292"/>
      <w:r/>
      <w:bookmarkEnd w:id="14"/>
      <w:r>
        <w:rPr>
          <w:rFonts w:ascii="Times New Roman" w:hAnsi="Times New Roman" w:cs="Times New Roman"/>
          <w:b/>
          <w:sz w:val="24"/>
          <w:szCs w:val="24"/>
          <w:highlight w:val="yellow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Раздел 3. Сведения об акционерах (участниках, членах) эмитента, а также о сделках эмитента, в совершении которых имелась заинтересованность, и крупных сделках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3.1. Сведения об общем количестве акционеров (участников, членов)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/>
      <w:bookmarkStart w:id="15" w:name="Par359"/>
      <w:r/>
      <w:bookmarkEnd w:id="15"/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Общее количество лиц с ненулевыми остатками на лицевых счетах, зарегистрированных в реестре акционеров эмитента на 01.01.2026: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 (Три).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i/>
          <w:highlight w:val="white"/>
        </w:rPr>
      </w:pPr>
      <w:r>
        <w:rPr>
          <w:b/>
          <w:i/>
          <w:highlight w:val="white"/>
        </w:rPr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b/>
          <w:i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Общее количество номинальных держателей акций эмитента:</w:t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Номинальные держатели в реестре акционеров Банка не зарегистрированы.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69"/>
        <w:rPr>
          <w:b/>
          <w:i/>
          <w:sz w:val="22"/>
          <w:szCs w:val="22"/>
          <w:highlight w:val="white"/>
        </w:rPr>
      </w:pPr>
      <w:r>
        <w:rPr>
          <w:b/>
          <w:i/>
          <w:sz w:val="22"/>
          <w:szCs w:val="22"/>
          <w:highlight w:val="white"/>
        </w:rPr>
      </w:r>
      <w:r>
        <w:rPr>
          <w:b/>
          <w:i/>
          <w:sz w:val="22"/>
          <w:szCs w:val="22"/>
          <w:highlight w:val="white"/>
        </w:rPr>
      </w:r>
      <w:r>
        <w:rPr>
          <w:b/>
          <w:i/>
          <w:sz w:val="22"/>
          <w:szCs w:val="22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Общее количество лиц, включенных в составленный н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оминальным держателем список лиц, имевших (имеющих) право на участие в общем собрании акционеров эмитента (иной список лиц, составленный в целях осуществления (реализации) прав по акциям эмитента и для составления которого номинальные держатели акций эмите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нта представляли данные о лицах, в интересах которых они владели (владеют) акциями эмитента), или иной имеющийся у эмитента список, для составления которого номинальные держатели акций эмитента представляли данные о лицах, в интересах которых они владели (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владеют) акциями эмитента, с указанием категорий (типов) акций эмитента, владельцы которых подлежали включению в последний имеющийся у эмитента список, и даты, на которую в таком списке указывались лица, имеющие право осуществлять права по акциям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настоящее время 100% голосующих обыкновенных акций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принадлежат Российской Федерации в лице Федерального агентства по управлению государственным имуществом. Согласно п.3 ст. 47 Федерального закона от 26 декабря 1995 г. № 208-ФЗ «Об акционерных обществах» и п. 49 Устава Банка, когда 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се голосующие акции принадлежат одному акционеру, решения по вопросам, относящимся к компетенции Общего собрания акционеров Банка, принимаются этим акционером единолично и оформляются письменно, в связи с чем, списки лиц, имеющих право голоса при принятии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решения  Общим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собранием акционеров, не составляются.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2025 году иной список лиц, составленный в целях осуществления (реализации) прав по акциям Банка, не составлялся.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количестве акций, приобретенных и (или) выкупленных эмитентом, и (или) поступивших в его распоряжение, на 01.01.2026, отдельно по каждой категории (типу) акций: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количестве акций эмитента, принадлежащих подконтрольным им организациям, отдельно по каждой категории (типу) акций: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/>
      <w:bookmarkStart w:id="16" w:name="Par367"/>
      <w:r/>
      <w:bookmarkEnd w:id="16"/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3.2. Сведения об акционерах (участниках, членах) эмитента или лицах, имеющих право распоряжаться голосами, приходящимися на голосующие акции (доли), составляющие уставный (складочный) капитал (паевой фонд)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бумаг»,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пункт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 Постановлению Правительства Российской Федерации от 04.07.2023 № 1102,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в данном пункте раскрывается не в полном объеме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так как в отношении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действуют ограничительные меры со стороны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Великобритании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США, стран ЕС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Швейцарии,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Канады, Австралии, Японии и 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овой Зеландии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Лица, имеющие право распоряжаться не менее чем 5 процентами голосов, приходящихся на голосующие акции (доли, паи), составляющие уставный (складочный) капитал (паевой фонд)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tbl>
      <w:tblPr>
        <w:tblW w:w="9456" w:type="dxa"/>
        <w:tblInd w:w="145" w:type="dxa"/>
        <w:tblLayout w:type="fixed"/>
        <w:tblLook w:val="0000" w:firstRow="0" w:lastRow="0" w:firstColumn="0" w:lastColumn="0" w:noHBand="0" w:noVBand="0"/>
      </w:tblPr>
      <w:tblGrid>
        <w:gridCol w:w="4015"/>
        <w:gridCol w:w="1946"/>
        <w:gridCol w:w="3495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Российская Федерация в лице Федерального агентства по управлению государственным имуществом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109012, Москва, Никольский пер., дом 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7710723134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1087746829994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Размер доли голосов в процентах, приходящихся на голосующие акции (доли, паи), составляющие уставный (складочный) капитал (паевой фонд) эмитента, которой имеет право распоряжаться лицо: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Вид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Прямое распоряжение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Признак права распоряжения голосами, приходящимися на голосующие акции (доли, паи), составляющие уставный (складочный) капитал (паевой фонд) эмитента, которым обладает лицо: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самостоятельное распоряжение.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Основание, в силу которого лицо имеет право распоряжаться голосами, приходящимися на голосующие акции (доли, паи), составляющие уставный (складочный) капитал (паевой фонд) эмитента: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Доля участия в уставном капитале эмитента.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Иные сведения, указываемые эмитентом по собственному усмотрению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лицах, владеющих долями уставного капитала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 1.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tbl>
      <w:tblPr>
        <w:tblW w:w="9456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4015"/>
        <w:gridCol w:w="1946"/>
        <w:gridCol w:w="3495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Российская Федерация в лице Федерального агентства по управлению государственным имуществом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109012, Москва, Никольский пер., дом 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7710723134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1087746829994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Размер доли участника (акционера) эмитента в уставном капитале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82,17%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Доли принадлежащих обыкновенных акций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100 %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2.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W w:w="9456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4015"/>
        <w:gridCol w:w="1946"/>
        <w:gridCol w:w="3495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Российская Федерация в лице Министерства финансов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109097, г. Москва, ул. Ильинка, д.9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7710168360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1037739085636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Размер доли участника (акционера) эмитента в уставном капитале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4,75%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Доли принадлежащих обыкновенных акций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tbl>
      <w:tblPr>
        <w:tblW w:w="9456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4015"/>
        <w:gridCol w:w="1946"/>
        <w:gridCol w:w="3495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1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441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Размер доли участника (акционера) эмитента в уставном капитале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961" w:type="dxa"/>
            <w:textDirection w:val="lrTb"/>
            <w:noWrap w:val="false"/>
          </w:tcPr>
          <w:p>
            <w:pPr>
              <w:pStyle w:val="1058"/>
              <w:ind w:firstLine="0"/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Доли принадлежащих обыкновенных акций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49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0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  <w14:ligatures w14:val="non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лицах, контролирующих участника (акционера)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100% уставного капитала ____________________________________владеет Российская Федерация в лице Федерального агентства по управлению государственным имуществом.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71"/>
        <w:ind w:firstLine="709"/>
        <w:jc w:val="both"/>
        <w:spacing w:before="0" w:after="0"/>
        <w:widowControl/>
        <w:rPr>
          <w:b/>
          <w:i/>
          <w:highlight w:val="white"/>
          <w:lang w:val="ru-RU"/>
        </w:rPr>
      </w:pPr>
      <w:r>
        <w:rPr>
          <w:b/>
          <w:i/>
          <w:highlight w:val="white"/>
          <w:lang w:val="ru-RU"/>
        </w:rPr>
      </w:r>
      <w:r>
        <w:rPr>
          <w:b/>
          <w:i/>
          <w:highlight w:val="white"/>
          <w:lang w:val="ru-RU"/>
        </w:rPr>
      </w:r>
      <w:r>
        <w:rPr>
          <w:b/>
          <w:i/>
          <w:highlight w:val="white"/>
          <w:lang w:val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Информация о лицах, владеющих не менее чем 20 процентами уставного (складочного) капитала (паевого фонда) или не менее чем 20 процентами обыкновенных акций участника (акционера) эмитента: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Акционеров, владеющих не менее чем 20% уставного капитала данного акционера, нет.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Федеральное агентство по управлению государственным имуществом, Министерство финансов Российской Федерации и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____________________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 являются акционерными обществами.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/>
      <w:bookmarkStart w:id="17" w:name="Par398"/>
      <w:r/>
      <w:bookmarkEnd w:id="17"/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3.3. Сведения о доле участия Российской Федерации, субъекта Российской Федерации или муниципального образования в уставном капитале эмитента, наличии специального права («золотой акции»)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бумаг»,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пункт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7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 Постановлению Правительства Российской Федерации от 04.07.2023 № 1102,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в данном пункте раскрывается не в полном объеме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так как в отношении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действуют ограничительные меры со стороны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Великобритании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США, стран ЕС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Швейцарии,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Канады, Австралии, Японии и 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овой Зеландии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b/>
          <w:i/>
          <w:highlight w:val="white"/>
        </w:rPr>
        <w:outlineLvl w:val="0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Размер доли уставного капитала эмитента, находящейся в государственной (федеральной, субъектов Российской Федерации), муниципальной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собственности</w:t>
      </w:r>
      <w:r>
        <w:rPr>
          <w:b/>
          <w:i/>
          <w:highlight w:val="white"/>
        </w:rPr>
        <w:t xml:space="preserve">:   </w:t>
      </w:r>
      <w:r>
        <w:rPr>
          <w:b/>
          <w:i/>
          <w:highlight w:val="white"/>
        </w:rPr>
        <w:t xml:space="preserve">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86,92 %.</w:t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b/>
          <w:i/>
          <w:highlight w:val="white"/>
        </w:rPr>
        <w:outlineLvl w:val="0"/>
      </w:pPr>
      <w:r>
        <w:rPr>
          <w:b/>
          <w:i/>
          <w:highlight w:val="white"/>
        </w:rPr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b/>
          <w:i/>
          <w:highlight w:val="white"/>
        </w:rPr>
        <w:outlineLvl w:val="0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об управляющем государственным, муниципальным пакетом акций от имени Российской Федерации, субъекта Российской Федерации или муниципального образования:</w:t>
      </w:r>
      <w:r>
        <w:rPr>
          <w:b/>
          <w:i/>
          <w:highlight w:val="white"/>
        </w:rPr>
      </w:r>
      <w:r>
        <w:rPr>
          <w:b/>
          <w:i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Управляющий государственным, муниципальным пакетом акций от имени Российской Федерации, субъекта Российской Федерации или муниципального образования отсутствует.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i/>
          <w:highlight w:val="yellow"/>
        </w:rPr>
      </w:pPr>
      <w:r>
        <w:rPr>
          <w:b/>
          <w:i/>
          <w:highlight w:val="yellow"/>
        </w:rPr>
      </w:r>
      <w:r>
        <w:rPr>
          <w:b/>
          <w:i/>
          <w:highlight w:val="yellow"/>
        </w:rPr>
      </w:r>
      <w:r>
        <w:rPr>
          <w:b/>
          <w:i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Сведения о лице, которое от имени Российской Федерации, субъекта Российской Федерации или муниципального образования осуществляет функции участника (акционера) эмитента: </w:t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1.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tbl>
      <w:tblPr>
        <w:tblW w:w="9484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4663"/>
        <w:gridCol w:w="4821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(для юридического лица - коммерческой организации) или Наименование (для юридического лица - некоммерческой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Федеральное агентство по управлению государственным имуществом 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2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109012, Москва, Никольский пер., дом 9 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63" w:type="dxa"/>
            <w:vAlign w:val="center"/>
            <w:textDirection w:val="lrTb"/>
            <w:noWrap w:val="false"/>
          </w:tcPr>
          <w:p>
            <w:pPr>
              <w:pStyle w:val="1071"/>
              <w:jc w:val="center"/>
              <w:spacing w:before="0" w:after="0"/>
              <w:widowControl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Фамилия, имя, отчество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21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white"/>
        </w:rPr>
        <w:outlineLvl w:val="0"/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2.</w:t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</w:r>
    </w:p>
    <w:tbl>
      <w:tblPr>
        <w:tblW w:w="9484" w:type="dxa"/>
        <w:tblInd w:w="150" w:type="dxa"/>
        <w:tblLayout w:type="fixed"/>
        <w:tblLook w:val="0000" w:firstRow="0" w:lastRow="0" w:firstColumn="0" w:lastColumn="0" w:noHBand="0" w:noVBand="0"/>
      </w:tblPr>
      <w:tblGrid>
        <w:gridCol w:w="4670"/>
        <w:gridCol w:w="4814"/>
      </w:tblGrid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Полное фирменное наименование (для юридического лица - коммерческой организации) или Наименование (для юридического лица - некоммерческой организации)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Министерство финансов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109097, г. Москва, ул. Ильинка д.9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670" w:type="dxa"/>
            <w:vAlign w:val="center"/>
            <w:textDirection w:val="lrTb"/>
            <w:noWrap w:val="false"/>
          </w:tcPr>
          <w:p>
            <w:pPr>
              <w:pStyle w:val="1071"/>
              <w:jc w:val="center"/>
              <w:spacing w:before="0" w:after="0"/>
              <w:widowControl/>
              <w:rPr>
                <w:sz w:val="24"/>
                <w:szCs w:val="24"/>
                <w:highlight w:val="yellow"/>
                <w:lang w:val="ru-RU"/>
              </w:rPr>
            </w:pPr>
            <w:r>
              <w:rPr>
                <w:sz w:val="24"/>
                <w:szCs w:val="24"/>
                <w:highlight w:val="white"/>
                <w:lang w:val="ru-RU"/>
              </w:rPr>
              <w:t xml:space="preserve">Фамилия, имя, отчество</w:t>
            </w:r>
            <w:r>
              <w:rPr>
                <w:sz w:val="24"/>
                <w:szCs w:val="24"/>
                <w:highlight w:val="yellow"/>
                <w:lang w:val="ru-RU"/>
              </w:rPr>
            </w:r>
            <w:r>
              <w:rPr>
                <w:sz w:val="24"/>
                <w:szCs w:val="24"/>
                <w:highlight w:val="yellow"/>
                <w:lang w:val="ru-RU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814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i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highlight w:val="white"/>
        </w:rPr>
      </w:pPr>
      <w:r>
        <w:rPr>
          <w:rFonts w:ascii="Times New Roman" w:hAnsi="Times New Roman" w:cs="Times New Roman"/>
          <w:b/>
          <w:i/>
          <w:sz w:val="24"/>
          <w:szCs w:val="24"/>
          <w:highlight w:val="white"/>
        </w:rPr>
        <w:t xml:space="preserve">Наличие специального права на участие Российской Федерации, субъектов Российской Федерации, муниципальных образований в управлении эмитентом - акционерным обществом («золотой акции»), срок действия специального права («золотой акции»):</w:t>
      </w:r>
      <w:r>
        <w:rPr>
          <w:b/>
          <w:i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Отсутствует.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В период между отчетной датой (01.01.2026) и датой составления консолидирова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 (23.03.2026) в составе информации, приведенной в пунктах 3.1-3.3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yellow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  <w:r>
        <w:rPr>
          <w:rFonts w:ascii="Times New Roman" w:hAnsi="Times New Roman" w:cs="Times New Roman"/>
          <w:b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3.4. Сделки эмитента, в совершении которых имелась заинтересованность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не приводится. Акции Эмитента не допущены к организованным торгам.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/>
      <w:bookmarkStart w:id="18" w:name="Par409"/>
      <w:r/>
      <w:bookmarkEnd w:id="18"/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3.5. Крупные сделки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Информация не приводится. Акции Эмитента не допущены к организованным торгам.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Дополнительные сведения об эмитенте и о размещенных им ценных бумагах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19" w:name="Par423"/>
      <w:r/>
      <w:bookmarkEnd w:id="19"/>
      <w:r>
        <w:rPr>
          <w:rFonts w:ascii="Times New Roman" w:hAnsi="Times New Roman" w:cs="Times New Roman"/>
          <w:b/>
          <w:sz w:val="24"/>
          <w:szCs w:val="24"/>
        </w:rPr>
        <w:t xml:space="preserve">4.1. Подконтрольные эмитенту организации, имеющие для него существенное значение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64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064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На основе анализа консолидированной финансовой отчетности Группы за 2025 год, составленной в соответствии с Международными стандартами финансовой отчетности, Банк не имеет подконтрольн</w:t>
      </w:r>
      <w:r>
        <w:rPr>
          <w:b w:val="0"/>
          <w:sz w:val="24"/>
          <w:szCs w:val="24"/>
        </w:rPr>
        <w:t xml:space="preserve">ых организаций, имеющих для него существенное значение (на каждую из которых по данным консолидированной финансовой отчетности эмитента приходится не менее 5 процентов консолидированной стоимости активов или не менее 5 процентов консолидированного дохода).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pStyle w:val="1064"/>
        <w:ind w:firstLine="70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Поскольку Банк не имеет подконтрольных организаций, имеющих для него существенное значение, информация по п. 1.5, 1.6., 1.7.1. - 1.7.3. раскрывается в отношении Банка на основе бухгалтерской (финансовой) отчетности.</w:t>
      </w:r>
      <w:r>
        <w:rPr>
          <w:b w:val="0"/>
          <w:sz w:val="24"/>
          <w:szCs w:val="24"/>
        </w:rPr>
      </w:r>
      <w:r>
        <w:rPr>
          <w:b w:val="0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период между отчетной датой (01.01.2026) и датой составления консолидированной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четности (23.03.2026)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составе информации, приведенной в пункте 4.1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4.2. Дополнительные сведения, раскрываемые эмитентами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зеленых облигаций, социальных облигаций, облигаций устойчивого развития, адаптационных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Эмитент не идентифицирует выпуск облигаций или облигации, размещаемые в рамках программы облигаций, с использованием слов «зеленые облигации» и (или) «социальные облигации», и (или) «облигации устойчивого развития», и (или) «адаптационные облигации».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4.2.1. Инфор</w:t>
      </w:r>
      <w:r>
        <w:rPr>
          <w:rFonts w:ascii="Times New Roman" w:hAnsi="Times New Roman" w:cs="Times New Roman"/>
          <w:b/>
          <w:sz w:val="24"/>
          <w:szCs w:val="24"/>
        </w:rPr>
        <w:t xml:space="preserve">мация о реализации проекта (проектов), для финансирования и (или) рефинансирования которого (которых) используются денежные средства, полученные от размещения зеленых облигаций, социальных облигаций, облигаций устойчивого развития, адаптационных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4.2.2. Описание политики эмитента по управлению денежными средствами, полученными от размещения зеленых облигаций, социальных облигаций, облигаций устойчивого развития, адаптационных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  <w:r>
        <w:rPr>
          <w:rFonts w:ascii="Calibri,Bold" w:hAnsi="Calibri,Bold" w:cs="Calibri,Bold"/>
          <w:b/>
          <w:bCs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4.2.3. Отчет об использовании денежных средств, полученных от размещения зеленых облигаций, социальных облигаций, облигаций устойчивого развития, адаптационных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4.2(1). Дополнительные сведения, раскрываемые эмитентами инфраструктурных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4.2(1).1. Информация о целевом использовании денежных средств, полученных от размещения инфраструктурных облигаций.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4.2(1).2. Информация о реализации инфраструктурного проекта.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4.2(2). Дополнительные сведения, раскрываемые эмитентами облигаций, связанных с целями устойчивого развития.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4.2(2).1. Описание стратегии устойчивого развития эмитента.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4.2(2).2. Информация о текущем (фактическом) значении ключевого показателя (показателей) деятельности эмитента, связанного с достижением целей устойчивого развития.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4.2(3). Дополнительные сведения, раскрываемые эмитентами облигаций климатического перехода.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4.2(3).1. Описание стратегии климатического перехода эмитента.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4.2(3).2. Информация о реализации стратегии климатического перехода эмитента.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Данные отсутствуют.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4.3. Сведения о лице (лицах), предоставившем (предоставивших) обеспечение по облигациям эмитента с обеспечением, а также об обеспечении, предоставленном по облигациям эмитента с обеспечением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Облигации с обеспечением у Эмитента отсутствуют.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3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4.3.1. Дополнительные сведения об ипотечном покрытии по облигациям эмитента с ипотечным покрытием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8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Эмитент не размещал облигации с ипотечным покрытием.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4.3.2. Дополнительные сведения о залоговом обеспечении денежными требованиями по облигациям эмитента с залоговым обеспечением денежными требованиями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Эмитент не размещал облигации с залоговым обеспечением денежными требованиями.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2"/>
      </w:pPr>
      <w:r/>
      <w:bookmarkStart w:id="20" w:name="Par927"/>
      <w:r/>
      <w:bookmarkEnd w:id="20"/>
      <w:r>
        <w:rPr>
          <w:rFonts w:ascii="Times New Roman" w:hAnsi="Times New Roman" w:cs="Times New Roman"/>
          <w:b/>
          <w:sz w:val="24"/>
          <w:szCs w:val="24"/>
        </w:rPr>
        <w:t xml:space="preserve">4.4. Сведения об объявленных и выплаченных дивидендах по акциям эмитента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  <w:t xml:space="preserve">Информация не приводится. Акции Эмитента не допущены к организованным торгам.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2"/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4.5. Сведения об организациях, осуществляющих учет прав на эмиссионные ценные бумаги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  <w:highlight w:val="white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4.5.1 Сведения о регистраторе, осуществляющем ведение реестра владельцев ценных бумаг эмитента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white"/>
        </w:rPr>
        <w:outlineLvl w:val="3"/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 соответствии с абзацем 2 пункта 1 Постановления Правительства Российской Федерации от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Федерального закона «О рынке ценных бумаг», согласно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пункт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18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к Постановлению Правительства Российской Федерации от 04.07.2023 № 1102, информация в данном пункте не раскрывается, так как в отношении АО 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 действуют ограничительные меры со стороны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Великобритании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США, стран ЕС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Швейцарии,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Канады, Австралии, Японии и 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овой Зеландии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 существует угроза введения новых (расширения действующих) санкций.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</w:p>
    <w:p>
      <w:pPr>
        <w:pStyle w:val="1058"/>
        <w:ind w:firstLine="709"/>
        <w:rPr>
          <w:b/>
          <w:i/>
          <w:sz w:val="24"/>
          <w:szCs w:val="24"/>
          <w:highlight w:val="white"/>
        </w:rPr>
      </w:pPr>
      <w:r>
        <w:rPr>
          <w:b/>
          <w:i/>
          <w:sz w:val="24"/>
          <w:szCs w:val="24"/>
          <w:highlight w:val="white"/>
        </w:rPr>
        <w:t xml:space="preserve">Лицо, осуществляющее ведение реестра владельцев ценных бумаг эмитента:</w:t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Cs/>
          <w:sz w:val="24"/>
          <w:szCs w:val="24"/>
          <w:highlight w:val="white"/>
        </w:rPr>
        <w:t xml:space="preserve">Регистратор.</w:t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  <w:r>
        <w:rPr>
          <w:rFonts w:ascii="Times New Roman" w:hAnsi="Times New Roman" w:cs="Times New Roman"/>
          <w:bCs/>
          <w:sz w:val="24"/>
          <w:szCs w:val="24"/>
          <w:highlight w:val="white"/>
        </w:rPr>
      </w:r>
    </w:p>
    <w:p>
      <w:pPr>
        <w:pStyle w:val="1058"/>
        <w:ind w:firstLine="709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</w:p>
    <w:p>
      <w:pPr>
        <w:pStyle w:val="1058"/>
        <w:ind w:firstLine="709"/>
        <w:rPr>
          <w:b/>
          <w:i/>
          <w:sz w:val="24"/>
          <w:szCs w:val="24"/>
          <w:highlight w:val="white"/>
        </w:rPr>
      </w:pPr>
      <w:r>
        <w:rPr>
          <w:b/>
          <w:i/>
          <w:sz w:val="24"/>
          <w:szCs w:val="24"/>
          <w:highlight w:val="white"/>
        </w:rPr>
        <w:t xml:space="preserve">Информация о регистраторе, осуществляющем ведение реестра ценных бумаг эмитента:</w:t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103"/>
        <w:gridCol w:w="4914"/>
      </w:tblGrid>
      <w:tr>
        <w:tblPrEx/>
        <w:trPr/>
        <w:tc>
          <w:tcPr>
            <w:tcW w:w="414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Полное фирменное наименование: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414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Сокращенное фирменное наименование: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414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Место нахождения: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414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ИНН: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414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ОГРН: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496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pStyle w:val="1058"/>
        <w:ind w:firstLine="709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</w:p>
    <w:p>
      <w:pPr>
        <w:pStyle w:val="1058"/>
        <w:ind w:firstLine="709"/>
        <w:rPr>
          <w:b/>
          <w:i/>
          <w:sz w:val="24"/>
          <w:szCs w:val="24"/>
          <w:highlight w:val="white"/>
        </w:rPr>
      </w:pPr>
      <w:r>
        <w:rPr>
          <w:b/>
          <w:i/>
          <w:sz w:val="24"/>
          <w:szCs w:val="24"/>
          <w:highlight w:val="white"/>
        </w:rPr>
        <w:t xml:space="preserve">Информация о лицензии регистратора на осуществление деятельности по ведению реестра владельцев ценных бумаг:</w:t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tbl>
      <w:tblPr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70"/>
        <w:gridCol w:w="3847"/>
      </w:tblGrid>
      <w:tr>
        <w:tblPrEx/>
        <w:trPr/>
        <w:tc>
          <w:tcPr>
            <w:tcW w:w="522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Номер: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22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 выдачи: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tcW w:w="522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Срок действия лицензии на осуществление деятельности по ведению реестра владельцев ценных бумаг: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без ограничения срока действия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22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Орган, выдавший указанную лицензию: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ФСФР России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5220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Дата, с которой регистратор осуществляет ведение реестра владельцев ценных бумаг эмитента: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3882" w:type="dxa"/>
            <w:textDirection w:val="lrTb"/>
            <w:noWrap w:val="false"/>
          </w:tcPr>
          <w:p>
            <w:r/>
            <w:r/>
          </w:p>
        </w:tc>
      </w:tr>
    </w:tbl>
    <w:p>
      <w:pPr>
        <w:pStyle w:val="1058"/>
        <w:ind w:firstLine="709"/>
        <w:rPr>
          <w:b/>
          <w:i/>
          <w:sz w:val="24"/>
          <w:szCs w:val="24"/>
          <w:highlight w:val="yellow"/>
        </w:rPr>
      </w:pP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  <w:r>
        <w:rPr>
          <w:b/>
          <w:i/>
          <w:sz w:val="24"/>
          <w:szCs w:val="24"/>
          <w:highlight w:val="yellow"/>
        </w:rPr>
      </w:r>
    </w:p>
    <w:p>
      <w:pPr>
        <w:pStyle w:val="1058"/>
        <w:ind w:firstLine="709"/>
        <w:rPr>
          <w:b/>
          <w:i/>
          <w:sz w:val="24"/>
          <w:szCs w:val="24"/>
          <w:highlight w:val="white"/>
        </w:rPr>
      </w:pPr>
      <w:r>
        <w:rPr>
          <w:b/>
          <w:i/>
          <w:sz w:val="24"/>
          <w:szCs w:val="24"/>
          <w:highlight w:val="white"/>
        </w:rPr>
        <w:t xml:space="preserve">Иные сведения о ведении реестра владельцев ценных бумаг эмитента, указываемые эмитентом по собственному усмотрению:</w:t>
      </w:r>
      <w:r>
        <w:rPr>
          <w:b/>
          <w:i/>
          <w:sz w:val="24"/>
          <w:szCs w:val="24"/>
          <w:highlight w:val="white"/>
        </w:rPr>
      </w:r>
      <w:r>
        <w:rPr>
          <w:b/>
          <w:i/>
          <w:sz w:val="24"/>
          <w:szCs w:val="24"/>
          <w:highlight w:val="white"/>
        </w:rPr>
      </w:r>
    </w:p>
    <w:p>
      <w:pPr>
        <w:pStyle w:val="1058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Отсутствуют.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3"/>
      </w:pPr>
      <w:r>
        <w:rPr>
          <w:rFonts w:ascii="Times New Roman" w:hAnsi="Times New Roman" w:cs="Times New Roman"/>
          <w:b/>
          <w:sz w:val="24"/>
          <w:szCs w:val="24"/>
        </w:rPr>
        <w:t xml:space="preserve">4.5.2. Сведения о депозитарии, осуществляющем централизованный учет прав на ценные бумаги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обращении находятся ценные бумаги Эмитента с централизованным учетом прав.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</w:r>
      <w:r>
        <w:rPr>
          <w:rFonts w:ascii="Times New Roman" w:hAnsi="Times New Roman" w:cs="Times New Roman"/>
          <w:b/>
          <w:i/>
          <w:sz w:val="24"/>
        </w:rPr>
      </w:r>
      <w:r>
        <w:rPr>
          <w:rFonts w:ascii="Times New Roman" w:hAnsi="Times New Roman" w:cs="Times New Roman"/>
          <w:b/>
          <w:i/>
          <w:sz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Сведения о депозитарии (депозитариях):</w:t>
      </w:r>
      <w:r>
        <w:rPr>
          <w:rFonts w:ascii="Times New Roman" w:hAnsi="Times New Roman" w:cs="Times New Roman"/>
          <w:b/>
          <w:bCs/>
          <w:i/>
          <w:sz w:val="24"/>
        </w:rPr>
      </w:r>
      <w:r>
        <w:rPr>
          <w:rFonts w:ascii="Times New Roman" w:hAnsi="Times New Roman" w:cs="Times New Roman"/>
          <w:b/>
          <w:bCs/>
          <w:i/>
          <w:sz w:val="24"/>
        </w:rPr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245"/>
      </w:tblGrid>
      <w:tr>
        <w:tblPrEx/>
        <w:trPr>
          <w:trHeight w:val="3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Полное фирменное наименование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Небанковская кредитная организация акционерное общество «Национальный расчетный депозитарий»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6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Сокращенное фирменное наименование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НКО АО НРД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Место нахождения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105066, г. Москва, ул. Спартаковская, д. 12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ИНН: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7702165310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textDirection w:val="lrTb"/>
            <w:noWrap w:val="false"/>
          </w:tcPr>
          <w:p>
            <w:pPr>
              <w:pStyle w:val="1058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ОГРН: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</w:rPr>
              <w:t xml:space="preserve">1027739132563</w:t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</w:rPr>
            </w:r>
          </w:p>
        </w:tc>
      </w:tr>
    </w:tbl>
    <w:p>
      <w:pPr>
        <w:pStyle w:val="1058"/>
        <w:ind w:firstLine="709"/>
        <w:rPr>
          <w:b/>
          <w:i/>
          <w:sz w:val="24"/>
        </w:rPr>
      </w:pPr>
      <w:r>
        <w:rPr>
          <w:b/>
          <w:i/>
          <w:sz w:val="24"/>
        </w:rPr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1058"/>
        <w:ind w:firstLine="709"/>
        <w:rPr>
          <w:b/>
          <w:i/>
          <w:sz w:val="24"/>
        </w:rPr>
      </w:pPr>
      <w:r>
        <w:rPr>
          <w:b/>
          <w:i/>
          <w:sz w:val="24"/>
        </w:rPr>
        <w:t xml:space="preserve">Информация о лицензии профессионального участника рынка ценных бумаг на осуществление депозитарной деятельности: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5245"/>
      </w:tblGrid>
      <w:tr>
        <w:tblPrEx/>
        <w:trPr>
          <w:trHeight w:val="311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Номер: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045-12042-000100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выдачи: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  <w:t xml:space="preserve">19.02.2009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</w:r>
          </w:p>
        </w:tc>
      </w:tr>
      <w:tr>
        <w:tblPrEx/>
        <w:trPr>
          <w:trHeight w:val="1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лицензии на осуществление депозитарной деятельности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: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  <w:t xml:space="preserve">Без ограничения срока действия</w:t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</w:rPr>
            </w:r>
          </w:p>
        </w:tc>
      </w:tr>
      <w:tr>
        <w:tblPrEx/>
        <w:trPr>
          <w:trHeight w:val="15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органа, выдавшего лицензию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45" w:type="dxa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</w:pPr>
            <w:r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  <w:t xml:space="preserve">ФСФР России</w:t>
            </w:r>
            <w:r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</w:r>
            <w:r>
              <w:rPr>
                <w:rStyle w:val="1068"/>
                <w:rFonts w:ascii="Times New Roman" w:hAnsi="Times New Roman" w:cs="Times New Roman"/>
                <w:b w:val="0"/>
                <w:i w:val="0"/>
                <w:sz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период между отчетной датой (01.01.2026) и датой составления консолидированной финансовой отчетности Группы за отчетный год, закончившийся 31 декабря 2025 года, составленной в соответствии с Международными стандартами финансовой отчетности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  <w:shd w:val="clear" w:color="ffffff" w:themeColor="background1" w:fill="ffffff" w:themeFill="background1"/>
        </w:rPr>
        <w:t xml:space="preserve"> (23.03.2026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) в составе информации, приведенной в пункте 4.5 изменения не происходили.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/>
      <w:bookmarkStart w:id="21" w:name="Par1037"/>
      <w:r/>
      <w:bookmarkEnd w:id="21"/>
      <w:r>
        <w:rPr>
          <w:rFonts w:ascii="Times New Roman" w:hAnsi="Times New Roman" w:cs="Times New Roman"/>
          <w:b/>
          <w:sz w:val="24"/>
          <w:szCs w:val="24"/>
        </w:rPr>
        <w:t xml:space="preserve">4.6. Информация об аудиторе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в отношении аудитора (аудиторской организации, индивидуального аудитора) эмит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ента, который проводил проверку промежуточной отчетности эмитента, раскрытой эмитентом в отчетном периоде, и (или) который проводил (будет проводить) проверку (обязательный аудит) годовой отчетности эмитента за текущий и последний завершенный отчетный год: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5004"/>
        <w:gridCol w:w="4352"/>
      </w:tblGrid>
      <w:tr>
        <w:tblPrEx/>
        <w:trPr>
          <w:jc w:val="center"/>
          <w:trHeight w:val="113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фирменное наименование до 14.01.2026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«Центр аудиторских технологий и решений – аудиторские услуги»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Полное фирменное наименование с 14.01.2026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35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«Б1 - Аудит»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9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Сокращенное фирменное наименование до 14.01.2026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«ЦАТР – аудиторские услуги»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004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Сокращенное фирменное наименование с 14.01.2026 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352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ООО «Б1 - Аудит»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ИНН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7709383532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center"/>
          <w:trHeight w:val="24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ОГРН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1027739707203</w:t>
            </w:r>
            <w:r>
              <w:rPr>
                <w:rFonts w:ascii="Times New Roman" w:hAnsi="Times New Roman" w:cs="Times New Roman"/>
                <w:sz w:val="24"/>
              </w:rPr>
            </w:r>
            <w:r>
              <w:rPr>
                <w:rFonts w:ascii="Times New Roman" w:hAnsi="Times New Roman" w:cs="Times New Roman"/>
                <w:sz w:val="24"/>
              </w:rPr>
            </w:r>
          </w:p>
        </w:tc>
      </w:tr>
      <w:tr>
        <w:tblPrEx/>
        <w:trPr>
          <w:jc w:val="center"/>
          <w:trHeight w:val="330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00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аудиторской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5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Россия, 115035, Москва, Садовническая набережная, дом 75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Отчетный год и (или) иной отчетный период из числа последних трех завершенных отчетных лет и текущего года, за который аудитором проводилась (будет проводиться) проверка отчетности эмитента: 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2023, 2024, 2025 и 2026 годы.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Вид отчетности эмитента, в отношении которой аудитором проводилась (будет проводиться) проверка (бухгалтерская (финансовая) отчетность; консолидированная финансовая отчетность или финансовая отчетность):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Аудитор провел аудиторскую проверку в отношении: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годовой бухгалтерской (финансовой) отчетности, составленных на ее основе публикуемых форм Банка за 2023 год, подготовленной исходя из требований 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за 2023 год, подготовленной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обобщенной консолидированной финансовой отчетности Группы                          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2023 год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публикуемой отчетности Банка за 2023 год, подготовленной в соответствии 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установленными в Российской Федерации правилами составления бухгалтерской (финансовой) отчетности с учетом требований, содержащихся в принятом Советом директоров Банка России решении от 26.12.2023 «О требованиях к раскрытию кредитными организациями (голов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ными кредитными организациями банковских групп) отчетности и информации в 2024 году» и изложенных в Информационном письме Банка России от 16.01.2024 № ИН-03-23/2 «О требованиях к раскрытию и представлению в Банк России отчетности и информации в 2024 году».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годовой бухгалтерской (финансовой) отчетности, составленных на ее основе публикуемых форм Банка за 2024 год, подготовленной исходя из требований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за 2024 год, подготовленной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обобщенной консолидированной финансовой отчетности Группы                          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2024 год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публикуемой отчетности Банка за 2024 год, подготовленной в соответствии с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установленными в Российской Федерации правилами составления бухгалтерской (финансовой) отчетности с учетом требований, содержащихся в принятом Советом директоров Банка России решении от 24.12.2024 «О требованиях к раскрытию кредитными организациями (головн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ыми кредитными организациями банковских групп) отчетности и информации в 2025 году» и изложенных в Информационном письме Банка России от 22.01.2025 № ИН-03-23/70 «О требованиях к раскрытию и представлению в Банк России отчетности и информации в 2025 году».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годовой бухгалтерской (финансовой) отчетности за 2025 год, подготовленной исходя из требований 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консолидированной финансовой отчетности группы, подготовленной исходя из требований 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обобщенной финансовой отчетности за 2025 год в отношении бухгалтерской (финансовой) отчетности за 2025 год, подготовленной на основе годовой бухгалтерской (финансовой) отчетности за 2025 год;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обобщенной консолидированной финансовой отчетности группы                                           за 2025 год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 отношении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консолидированной финансовой отчетности группы за 2025 год, подготовленной на основе консолидированной финансовой отчетности за 2025 год;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Аудитор провел обзорную проверку в отношении: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2023 года, подготовленной на основе 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2023 года, подготовленной на основе 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2023 года, подготовленной на основе 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2023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2024 года, подготовленной на основе 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2024 года, подготовленной на основе промежуточной сокращенной консолидированной финансовой отчетности Группы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6 месяцев, закончившихся 30 июня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2024 года, подготовленной на основе промежуточной сокращенной консолидированной финансовой отчетности Группы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закончившихся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30 сентября 2024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промежуточной сокращенной консолидированной финансовой отчетности     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3 месяца,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закончившихся 31 марта 2025 года,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промежуточной сокращенной консолидированной финансовой отчетности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6 месяцев,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закончившихся 30 июня 2025 года,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            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2025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                    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2025 года, подготовленной на основе промежуточной сокращенной консолидированной финансовой отчетности                 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3 месяца, закончившихся 31 марта 2025 года, подготовленной в соответствии с Международными стандартами финансовой отчетности.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обобщенной (раскрываемой) консолидированной финансовой отчетности  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6 месяцев,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закончившихся 30 июня 2025 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подготовленной на основе промежуточной сокращенной консолидированной финансовой отчетности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6 месяцев, закончившихся 30 июня 2025 года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подготовленной в соответствии с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 xml:space="preserve">Международными стандартами финансовой отчетности;</w:t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обобщенной (раскрываемой) консолидированной финансовой отчетности                      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2025 года, подготовленной на основе промежуточной сокращенной консолидированной финансовой отчетности               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закончившихся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30 сентября 2025 года, подготовленной в соответствии с Международными стандартами финансовой отчетности;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eastAsia="Times New Roman"/>
          <w:iCs/>
          <w:lang w:eastAsia="ru-RU"/>
        </w:rPr>
      </w:pPr>
      <w:r>
        <w:rPr>
          <w:rFonts w:eastAsia="Times New Roman"/>
          <w:iCs/>
          <w:lang w:eastAsia="ru-RU"/>
        </w:rPr>
      </w:r>
      <w:r>
        <w:rPr>
          <w:rFonts w:eastAsia="Times New Roman"/>
          <w:iCs/>
          <w:lang w:eastAsia="ru-RU"/>
        </w:rPr>
      </w:r>
      <w:r>
        <w:rPr>
          <w:rFonts w:eastAsia="Times New Roman"/>
          <w:iCs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Аудитор будет проводить аудиторскую проверку в отношении: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годовой бухгалтерской (финансовой) отчетности за 2026 год, подготовленной исходя из требований 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консолидированной финансовой отчетности группы за 2026 год, подготовленной исходя из требований законодательства Российской Федерации, включая нормативные акты Центрального банка Российской Федерации;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eastAsia="Times New Roman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Аудитор будет проводить обзорную проверку в отношении:</w:t>
      </w:r>
      <w:r>
        <w:rPr>
          <w:rFonts w:eastAsia="Times New Roman"/>
          <w:lang w:eastAsia="ru-RU"/>
        </w:rPr>
      </w:r>
      <w:r>
        <w:rPr>
          <w:rFonts w:eastAsia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промежуточной сокращенной консолидированной финансовой отчетности     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3 месяца,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закончившихся 31 марта 2026 года,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 промежуточной сокращенной консолидированной финансовой отчетности                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 за 6 месяцев,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закончившихся 30 июня 2026 года,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подготовленной в соответствии с Международными стандартами финансовой отчетности;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 промежуточной сокращенной консолидированной финансовой отчетности  </w:t>
      </w:r>
      <w:r>
        <w:rPr>
          <w:rFonts w:ascii="Times New Roman" w:hAnsi="Times New Roman" w:eastAsia="Times New Roman" w:cs="Times New Roman"/>
          <w:sz w:val="24"/>
          <w:szCs w:val="24"/>
        </w:rPr>
        <w:br/>
        <w:t xml:space="preserve">АО «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» за 9 месяцев, закончившихся 30 сентября 2026 года, подготовленной в соответствии с Международными стандартами финансовой отчетности.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eastAsia="Times New Roman"/>
          <w:iCs/>
          <w:lang w:eastAsia="ru-RU"/>
        </w:rPr>
      </w:pPr>
      <w:r>
        <w:rPr>
          <w:rFonts w:eastAsia="Times New Roman"/>
          <w:iCs/>
          <w:lang w:eastAsia="ru-RU"/>
        </w:rPr>
      </w:r>
      <w:r>
        <w:rPr>
          <w:rFonts w:eastAsia="Times New Roman"/>
          <w:iCs/>
          <w:lang w:eastAsia="ru-RU"/>
        </w:rPr>
      </w:r>
      <w:r>
        <w:rPr>
          <w:rFonts w:eastAsia="Times New Roman"/>
          <w:iCs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Сопутствующие аудиту и прочие связанные с аудиторской деятельностью услуги, которые оказывались (будут оказываться) эмитенту в течение последних трех завершенных отчетных лет и текущего года аудитором: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tbl>
      <w:tblPr>
        <w:tblW w:w="94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595"/>
        <w:gridCol w:w="5636"/>
      </w:tblGrid>
      <w:tr>
        <w:tblPrEx/>
        <w:trPr>
          <w:trHeight w:val="3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Контракт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Дата заключения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Описание услуг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801"/>
        </w:trPr>
        <w:tc>
          <w:tcPr>
            <w:tcW w:w="226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BAS-2022-00083 (РСХБ-18/253-2022)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27.06.2022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Консультационные услуги по предоставлению 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екомендаций в части совершенствования методологии оценки ожидаемых кредитных убытков в соответствии с МСФО 9 по требованиям к корпоративным заемщикам и индивидуальным предпринимателям и портфелям дочерних обществ для нужд                               АО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Россельхозбанк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277"/>
        </w:trPr>
        <w:tc>
          <w:tcPr>
            <w:tcW w:w="226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РСХБ-18/331-2022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(GFS-2022-00133)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15.07.2022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Сопутствующие аудиторские процедуры в связи с эмиссией биржевых неконвертируемых облигаций с централизованным учетом прав, размещаемых путем открытой подписки в рамках Программы биржевых облигаций серии 002Р.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25"/>
        </w:trPr>
        <w:tc>
          <w:tcPr>
            <w:tcW w:w="226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EX22080400027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31.08.2022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Оценка функции внутреннего аудита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781"/>
        </w:trPr>
        <w:tc>
          <w:tcPr>
            <w:tcW w:w="226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Договор оказания аудиторских услуг от 26.02.2019 № GFS-2019-00027, ДС к договору №5 от 15.12.2022, ДС к договору №6 от 20.12.2022 и ДС к договору №7 от 30.11.2023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26.02.2019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br/>
              <w:t xml:space="preserve">08.12.2022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br/>
              <w:t xml:space="preserve">20.12.2022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30.11.2023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Аудит в соответств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ии со статьей 50 Федерального закона от 29.11.2001 № 156-ФЗ «Об инвестиционных фондах», Федеральным законом от 30.12.2008 № 307-ФЭ «Об аудиторской деятельности» за 2022 год. (Закрытый паевой инвестиционный комбинированный фонд «Фонд долговых ценных бумаг»)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390"/>
        </w:trPr>
        <w:tc>
          <w:tcPr>
            <w:tcW w:w="226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59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Аудит в соответст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вии со статьей 50 Федерального закона от 29.112001 № 156-ФЗ «Об инвестиционных фондах», Федеральным законом от 30.12.2008 № 307-ФЗ «Об аудиторской деятельности» за 2023 год. (Закрытый паевой инвестиционный комбинированный фонд «Фонд долговых ценных бумаг»)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910"/>
        </w:trPr>
        <w:tc>
          <w:tcPr>
            <w:tcW w:w="226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EX23020900071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09.03.2023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Услуги по проведению оценки реализации в 2022 году Долгосрочной программы развития и выполнения ключевых показателей эффективности                                АО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Россельхозбанк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76"/>
        </w:trPr>
        <w:tc>
          <w:tcPr>
            <w:tcW w:w="226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РСХБ-18/222-2023/GFS-2023-00155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07.08.2023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Сопутствующие аудиторские процедуры в связи с обновлением Проспекта ценных бумаг в рамках Программы биржевых облигаций серии 002Р.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226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32413215752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29.02.2024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Услуги по проведению оценки реализации в 2023 году Долгосрочной программы развития и выполнения ключевых показателей эффективности                                АО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Россельхозбанк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450"/>
        </w:trPr>
        <w:tc>
          <w:tcPr>
            <w:tcW w:w="2263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 w:themeColor="text1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1-0-05/24</w:t>
            </w:r>
            <w:r>
              <w:rPr>
                <w:color w:val="000000" w:themeColor="text1"/>
                <w:highlight w:val="white"/>
              </w:rPr>
            </w:r>
            <w:r>
              <w:rPr>
                <w:color w:val="000000" w:themeColor="text1"/>
                <w:highlight w:val="white"/>
              </w:rPr>
            </w:r>
          </w:p>
        </w:tc>
        <w:tc>
          <w:tcPr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28.12.2024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Предоставление консультационных налоговых услуг по вопросам реструктуризации деятельности Общества для наиболее эффективной и коммерчески целесообразной коммерциализации разносторонних наработок и опыта Общества, накопленных в ИТ-сфере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1071"/>
        </w:trPr>
        <w:tc>
          <w:tcPr>
            <w:tcW w:w="226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32514491845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20.03.2025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Услуги по проведению оценки реализации в 2024 году Долгосрочной программы развития и выполнения ключевых показателей эффективности                                АО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Россельхозбанк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  <w:tr>
        <w:tblPrEx/>
        <w:trPr>
          <w:trHeight w:val="276"/>
        </w:trPr>
        <w:tc>
          <w:tcPr>
            <w:tcW w:w="2263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ГФС-2025-00114/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white"/>
              </w:rPr>
              <w:br/>
              <w:t xml:space="preserve">РСХБ-18/263-2025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159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15.07.2025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tcW w:w="5636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  <w:t xml:space="preserve">Аудиторские процедуры в связи с эмиссией Заказчиком биржевых неконвертируемых облигаций с централизованным учетом прав, размещаемых путем открытой подписки в рамках Программы биржевых облигаций серии 002Р.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white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Аудитор провел аудит прибыли АО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Россельхозбанк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»: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за 3 месяца, закончившихся 31 марта 2025 года;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за 7 месяцев, закончившихся 31 июля 2025 года;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- за 9 месяцев, закончившихся 30 сентября 2025 года.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Аудитор провел аудит пересмотренной обобщенной консолидированной финансовой отчетности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за 2024 год.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  <w:r>
        <w:rPr>
          <w:rFonts w:ascii="Times New Roman" w:hAnsi="Times New Roman" w:cs="Times New Roman"/>
          <w:b/>
          <w:bCs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Факторы, которые могут оказать влияние на независимость аудитора, в том числе сведения о наличии существенных интересов (взаимоотношений), связывающих с эмите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нтом (членами органов управления и органов контроля за финансово-хозяйственной деятельностью эмитента) аудитора эмитента, членов органов управления и органов контроля за финансово-хозяйственной деятельностью аудитора, а также участников аудиторской группы: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91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493"/>
      </w:tblGrid>
      <w:tr>
        <w:tblPrEx/>
        <w:trPr>
          <w:jc w:val="center"/>
        </w:trPr>
        <w:tc>
          <w:tcPr>
            <w:tcW w:w="5670" w:type="dxa"/>
            <w:textDirection w:val="lrTb"/>
            <w:noWrap w:val="false"/>
          </w:tcPr>
          <w:p>
            <w:pPr>
              <w:pStyle w:val="1058"/>
              <w:ind w:firstLine="0"/>
            </w:pPr>
            <w:r>
              <w:t xml:space="preserve">наличие долей участия аудитора (лиц, занимающих должности в органах управления и органах контроля за финансово-хозяйственной деятельностью аудиторской организации) в уставном капитале эмитента</w:t>
            </w:r>
            <w:r/>
          </w:p>
        </w:tc>
        <w:tc>
          <w:tcPr>
            <w:tcW w:w="3493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не имеется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jc w:val="center"/>
        </w:trPr>
        <w:tc>
          <w:tcPr>
            <w:tcW w:w="5670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предоставление эмитентом заемных средств аудитору (лицам, занимающим должности в органах управления и органах контроля за финансово-хозяйственной деятельностью аудиторской организации)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3493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не предоставлялись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jc w:val="center"/>
        </w:trPr>
        <w:tc>
          <w:tcPr>
            <w:tcW w:w="5670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наличие тесных деловых взаимоотношений (участие в продвижении продукции (услуг) эмитента, участие в совместной предпринимательской деятельности и т.д.), а также родственных связей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3493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не имеется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  <w:tr>
        <w:tblPrEx/>
        <w:trPr>
          <w:jc w:val="center"/>
        </w:trPr>
        <w:tc>
          <w:tcPr>
            <w:tcW w:w="5670" w:type="dxa"/>
            <w:textDirection w:val="lrTb"/>
            <w:noWrap w:val="false"/>
          </w:tcPr>
          <w:p>
            <w:pPr>
              <w:pStyle w:val="1058"/>
              <w:ind w:firstLine="0"/>
              <w:rPr>
                <w:b/>
                <w:i/>
              </w:rPr>
            </w:pPr>
            <w:r>
              <w:t xml:space="preserve">сведения о лицах, занимающих д</w:t>
            </w:r>
            <w:r>
              <w:t xml:space="preserve">олжности в органах управления и (или) органах контроля за финансово-хозяйственной деятельностью эмитента, которые одновременно занимают должности в органах управления и (или) органах контроля за финансово-хозяйственной деятельностью аудиторской организации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tcW w:w="3493" w:type="dxa"/>
            <w:textDirection w:val="lrTb"/>
            <w:noWrap w:val="false"/>
          </w:tcPr>
          <w:p>
            <w:pPr>
              <w:pStyle w:val="1058"/>
              <w:ind w:firstLine="0"/>
              <w:jc w:val="left"/>
              <w:rPr>
                <w:b/>
                <w:i/>
              </w:rPr>
            </w:pPr>
            <w:r>
              <w:t xml:space="preserve">должностные лица Эмитента не являются одновременно должностными лицами аудитора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Меры, предпринятые эмитентом и аудитором эмитента для снижения влияния факторов, которые могут оказать влияние на независимость аудитора: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реализации задачи по выявлению конфликтов интересов в деятельности              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Банк осуществляет мероприятия текущего мониторинга, контроль принятия мер, предусмотренных Порядком предотвращения конфликтов интересов                     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№ 538-П, а также реализации Антикоррупционной политики                            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возникновение деловых отношений между 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и независимым аудитором с точки зрения приобретения Банком у последнего товаров, работ, </w:t>
      </w:r>
      <w:r>
        <w:rPr>
          <w:rFonts w:ascii="Times New Roman" w:hAnsi="Times New Roman" w:cs="Times New Roman"/>
          <w:sz w:val="24"/>
          <w:szCs w:val="24"/>
        </w:rPr>
        <w:t xml:space="preserve">услуг осуществляется только после заключения договора по итогам проведения Банком соответствующей закупочной процедуры в соответствии с требованиями  Федерального за</w:t>
      </w:r>
      <w:r>
        <w:rPr>
          <w:rFonts w:ascii="Times New Roman" w:hAnsi="Times New Roman" w:cs="Times New Roman"/>
          <w:sz w:val="24"/>
          <w:szCs w:val="24"/>
        </w:rPr>
        <w:t xml:space="preserve">кона от 18.07.2011 № 223-ФЗ «О закупках товаров, работ, услуг отдельными видами юридических лиц» 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Фактический размер вознаграждения, выплаче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нного эмитентом аудитору за последний завершенный отчетный год, с отдельным указанием размера вознаграждения, выплаченного за аудит (проверку), в том числе обязательный, консолидированной финансовой отчетности эмитента за последний завершенный отчетный год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за оказание сопутствующих аудиту и прочих связанных с аудиторской деятельностью услуг</w:t>
      </w:r>
      <w:r>
        <w:rPr>
          <w:rFonts w:ascii="Times New Roman" w:hAnsi="Times New Roman" w:cs="Times New Roman"/>
          <w:sz w:val="24"/>
          <w:szCs w:val="24"/>
        </w:rPr>
        <w:t xml:space="preserve">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размер вознаграждений, выплаченный ООО «Б1 - Аудит» за 2025 год за аудиторские и неаудиторские услуги, составил 127 523 981, 60 рублей (включая НДС 21 253 996,</w:t>
      </w:r>
      <w:r>
        <w:rPr>
          <w:rFonts w:ascii="Times New Roman" w:hAnsi="Times New Roman" w:cs="Times New Roman"/>
          <w:sz w:val="24"/>
          <w:szCs w:val="24"/>
        </w:rPr>
        <w:t xml:space="preserve">93  рублей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Размер вознаграждения за оказанные аудитором эмитента услуги, выплата которого от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ложена или просрочена эмитентом, с отдельным указанием отложенного или просроченного вознаграждения за аудит (проверку), в том числе обязательный, отчетности эмитента и за оказание сопутствующих аудиту и прочих связанных с аудиторской деятельностью услуг: </w:t>
      </w:r>
      <w:r>
        <w:rPr>
          <w:rFonts w:ascii="Times New Roman" w:hAnsi="Times New Roman" w:cs="Times New Roman"/>
          <w:sz w:val="24"/>
          <w:szCs w:val="24"/>
        </w:rPr>
        <w:t xml:space="preserve">Отсутствует.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Фактический размер вознагр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аждения, выплаченного за последний завершенный отчетный год эмитентом аудитору, а также организациям, которые являются членами того же объединения организаций, членом которого является аудитор эмитента (входят с аудитором эмитента в одну сеть аудиторских о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рганизаций), с отдельным указанием размера вознаграждения, выплаченного за аудит (проверку), в том числе обязательный, консолидированной финансовой отчетности эмитента и за оказание сопутствующих аудиту и прочих связанных с аудиторской деятельностью услуг: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1058"/>
        <w:ind w:firstLine="709"/>
        <w:rPr>
          <w:iCs/>
          <w:sz w:val="24"/>
          <w:szCs w:val="24"/>
        </w:rPr>
      </w:pPr>
      <w:r>
        <w:rPr>
          <w:sz w:val="24"/>
          <w:szCs w:val="24"/>
          <w:highlight w:val="white"/>
        </w:rPr>
        <w:t xml:space="preserve">ООО «Б1 - Аудит» </w:t>
      </w:r>
      <w:r>
        <w:rPr>
          <w:sz w:val="24"/>
          <w:szCs w:val="24"/>
        </w:rPr>
        <w:t xml:space="preserve">является членом Саморегулируемой организации аудиторов Ассоциация «Содружество» (</w:t>
      </w:r>
      <w:r>
        <w:rPr>
          <w:bCs/>
          <w:sz w:val="24"/>
          <w:szCs w:val="24"/>
        </w:rPr>
        <w:t xml:space="preserve">СРО ААС</w:t>
      </w:r>
      <w:r>
        <w:rPr>
          <w:sz w:val="24"/>
          <w:szCs w:val="24"/>
        </w:rPr>
        <w:t xml:space="preserve">), место нахождения: Российская </w:t>
      </w:r>
      <w:r>
        <w:rPr>
          <w:bCs/>
          <w:iCs/>
          <w:sz w:val="24"/>
          <w:szCs w:val="24"/>
        </w:rPr>
        <w:t xml:space="preserve">Федерация, город Москва, адрес: Россия, 119192, Москва, Мичуринский п</w:t>
      </w:r>
      <w:r>
        <w:rPr>
          <w:bCs/>
          <w:iCs/>
          <w:sz w:val="24"/>
          <w:szCs w:val="24"/>
        </w:rPr>
        <w:t xml:space="preserve">роспект, дом 21, корпус 4. Эмитент не выплачивал вознаграждение в 2025 году организациям, которые являются членами того же объединения организаций, членом которого является аудитор эмитента (входят с аудитором эмитента в одну сеть аудиторских организаций).</w:t>
      </w:r>
      <w:r>
        <w:rPr>
          <w:b/>
          <w:i/>
          <w:sz w:val="24"/>
          <w:szCs w:val="24"/>
        </w:rPr>
        <w:t xml:space="preserve"> </w:t>
      </w:r>
      <w:r>
        <w:rPr>
          <w:iCs/>
          <w:sz w:val="24"/>
          <w:szCs w:val="24"/>
        </w:rPr>
      </w:r>
      <w:r>
        <w:rPr>
          <w:iCs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Фактический размер вознаграждения, выплаченного за последний завершенный отчетный год эмитентом аудитору: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Общий размер вознаграждений, выплаченный ООО «Б1 - Аудит» за 2025 год за аудиторские и неаудиторские услуги, составил 127 523 981, 60 рублей (включая НДС 21 253 996,</w:t>
      </w:r>
      <w:r>
        <w:rPr>
          <w:rFonts w:ascii="Times New Roman" w:hAnsi="Times New Roman" w:cs="Times New Roman"/>
          <w:sz w:val="24"/>
          <w:szCs w:val="24"/>
        </w:rPr>
        <w:t xml:space="preserve">93  рублей</w:t>
      </w:r>
      <w:r>
        <w:rPr>
          <w:rFonts w:ascii="Times New Roman" w:hAnsi="Times New Roman" w:cs="Times New Roman"/>
          <w:sz w:val="24"/>
          <w:szCs w:val="24"/>
        </w:rPr>
        <w:t xml:space="preserve">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Фактический размер вознаграждения, выплаченного за последний завершенный отчетный год эмитентом организациям, которые являются членами того же объединения организаций, членом которого является аудитор эмитента: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1058"/>
        <w:ind w:firstLine="709"/>
        <w:rPr>
          <w:iCs/>
        </w:rPr>
      </w:pPr>
      <w:r>
        <w:rPr>
          <w:sz w:val="24"/>
          <w:szCs w:val="24"/>
        </w:rPr>
        <w:t xml:space="preserve">Вознаграждение организациям, которые являются членами того же объединения организаций, членом которого является аудитор эмитента, не выплачивалось.</w:t>
      </w:r>
      <w:r>
        <w:rPr>
          <w:iCs/>
        </w:rPr>
      </w:r>
      <w:r>
        <w:rPr>
          <w:iCs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  <w:r>
        <w:rPr>
          <w:rFonts w:ascii="Times New Roman" w:hAnsi="Times New Roman" w:cs="Times New Roman"/>
          <w:sz w:val="24"/>
          <w:szCs w:val="24"/>
          <w:highlight w:val="yellow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Порядок выбора аудитора эмитентом: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проводит открытый конкурс в электронной форме по отбору аудиторской организации для проведения ежегодного аудита Эмитента.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30.12.2008 № 307-ФЗ «Об аудиторской деятельности» договор на проведение обязательного аудита бухгалтерской (финансовой) отчетности заключался по результатам проведения открытого конкурса в электронной форме </w:t>
      </w:r>
      <w:r>
        <w:rPr>
          <w:rFonts w:ascii="Times New Roman" w:hAnsi="Times New Roman" w:cs="Times New Roman"/>
          <w:sz w:val="24"/>
          <w:szCs w:val="24"/>
        </w:rPr>
        <w:t xml:space="preserve">в порядке, предусмотренном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менее, чем за 15 календарных дней</w:t>
      </w:r>
      <w:r>
        <w:rPr>
          <w:rFonts w:ascii="Times New Roman" w:hAnsi="Times New Roman" w:cs="Times New Roman"/>
          <w:sz w:val="24"/>
          <w:szCs w:val="24"/>
        </w:rPr>
        <w:t xml:space="preserve"> до дня проведения открытого конкурса в электронной форме (далее – конкурс), Эмитент в установленном порядке публикует извещение о проведении конкурса, предварительно согласованное с Федеральным агентством по управлению государственным имуществом (далее – </w:t>
      </w:r>
      <w:r>
        <w:rPr>
          <w:rFonts w:ascii="Times New Roman" w:hAnsi="Times New Roman" w:cs="Times New Roman"/>
          <w:sz w:val="24"/>
          <w:szCs w:val="24"/>
        </w:rPr>
        <w:t xml:space="preserve">Росимущество</w:t>
      </w:r>
      <w:r>
        <w:rPr>
          <w:rFonts w:ascii="Times New Roman" w:hAnsi="Times New Roman" w:cs="Times New Roman"/>
          <w:sz w:val="24"/>
          <w:szCs w:val="24"/>
        </w:rPr>
        <w:t xml:space="preserve">)</w:t>
      </w:r>
      <w:r>
        <w:rPr>
          <w:rStyle w:val="1118"/>
          <w:rFonts w:ascii="Times New Roman" w:hAnsi="Times New Roman" w:cs="Times New Roman"/>
          <w:sz w:val="24"/>
          <w:szCs w:val="24"/>
        </w:rPr>
        <w:footnoteReference w:id="10"/>
      </w:r>
      <w:r>
        <w:rPr>
          <w:rFonts w:ascii="Times New Roman" w:hAnsi="Times New Roman" w:cs="Times New Roman"/>
          <w:sz w:val="24"/>
          <w:szCs w:val="24"/>
        </w:rPr>
        <w:t xml:space="preserve">, в котором указываются основные условия проведения конкурса.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Выбранная по итогам открытого конкурса аудиторская организация последовательно согласовывается Правлением, Наблюдательным советом Банка</w:t>
      </w:r>
      <w:r>
        <w:rPr>
          <w:rFonts w:ascii="Times New Roman" w:hAnsi="Times New Roman" w:cs="Times New Roman"/>
          <w:sz w:val="24"/>
          <w:szCs w:val="24"/>
        </w:rPr>
        <w:t xml:space="preserve"> и выносит</w:t>
      </w:r>
      <w:r>
        <w:rPr>
          <w:rFonts w:ascii="Times New Roman" w:hAnsi="Times New Roman" w:cs="Times New Roman"/>
          <w:sz w:val="24"/>
          <w:szCs w:val="24"/>
        </w:rPr>
        <w:t xml:space="preserve">ся на утверждение годового заседания Общего собрания акционеров Банка (в соответствии с п. 101 Устава Банка и п. 3.3, 3.6 Положения о Комитете по аудиту Наблюдательного совета Банка, утвержденного Наблюдательным советом Банка (протокол от 27.06.2017 № 11).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июня 2023 года ООО «ЦАТР – аудиторские услуги» утвержден аудитором </w:t>
      </w:r>
      <w:r>
        <w:rPr>
          <w:rFonts w:ascii="Times New Roman" w:hAnsi="Times New Roman" w:cs="Times New Roman"/>
          <w:sz w:val="24"/>
          <w:szCs w:val="24"/>
        </w:rPr>
        <w:br/>
        <w:t xml:space="preserve">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для проведения обязательной ежегодной аудиторской проверки за 2023 год (Распоряжение </w:t>
      </w:r>
      <w:r>
        <w:rPr>
          <w:rFonts w:ascii="Times New Roman" w:hAnsi="Times New Roman" w:cs="Times New Roman"/>
          <w:sz w:val="24"/>
          <w:szCs w:val="24"/>
        </w:rPr>
        <w:t xml:space="preserve">Росимущества</w:t>
      </w:r>
      <w:r>
        <w:rPr>
          <w:rFonts w:ascii="Times New Roman" w:hAnsi="Times New Roman" w:cs="Times New Roman"/>
          <w:sz w:val="24"/>
          <w:szCs w:val="24"/>
        </w:rPr>
        <w:t xml:space="preserve"> от 30.06.2023 № 828-р).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 июня 2024 года ООО «ЦАТР – аудиторские услуги» утвержден аудитором </w:t>
      </w:r>
      <w:r>
        <w:rPr>
          <w:rFonts w:ascii="Times New Roman" w:hAnsi="Times New Roman" w:cs="Times New Roman"/>
          <w:sz w:val="24"/>
          <w:szCs w:val="24"/>
        </w:rPr>
        <w:br/>
        <w:t xml:space="preserve">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для проведения обязательной ежегодной аудиторской проверки за 2024 год (Распоряжение </w:t>
      </w:r>
      <w:r>
        <w:rPr>
          <w:rFonts w:ascii="Times New Roman" w:hAnsi="Times New Roman" w:cs="Times New Roman"/>
          <w:sz w:val="24"/>
          <w:szCs w:val="24"/>
        </w:rPr>
        <w:t xml:space="preserve">Росимущества</w:t>
      </w:r>
      <w:r>
        <w:rPr>
          <w:rFonts w:ascii="Times New Roman" w:hAnsi="Times New Roman" w:cs="Times New Roman"/>
          <w:sz w:val="24"/>
          <w:szCs w:val="24"/>
        </w:rPr>
        <w:t xml:space="preserve"> от 28.06.2024 № 1586-р).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30 июня 2025 года ООО «ЦАТР – аудиторские услуги»</w:t>
      </w:r>
      <w:r>
        <w:rPr>
          <w:rStyle w:val="1118"/>
          <w:rFonts w:ascii="Times New Roman" w:hAnsi="Times New Roman" w:eastAsia="Times New Roman" w:cs="Times New Roman"/>
          <w:bCs/>
          <w:sz w:val="24"/>
          <w:szCs w:val="24"/>
          <w:highlight w:val="white"/>
        </w:rPr>
        <w:footnoteReference w:id="11"/>
      </w:r>
      <w:r>
        <w:rPr>
          <w:rFonts w:ascii="Times New Roman" w:hAnsi="Times New Roman" w:cs="Times New Roman"/>
          <w:sz w:val="24"/>
          <w:szCs w:val="24"/>
        </w:rPr>
        <w:t xml:space="preserve"> утвержден аудитором </w:t>
      </w:r>
      <w:r>
        <w:rPr>
          <w:rFonts w:ascii="Times New Roman" w:hAnsi="Times New Roman" w:cs="Times New Roman"/>
          <w:sz w:val="24"/>
          <w:szCs w:val="24"/>
        </w:rPr>
        <w:br/>
        <w:t xml:space="preserve">АО «</w:t>
      </w:r>
      <w:r>
        <w:rPr>
          <w:rFonts w:ascii="Times New Roman" w:hAnsi="Times New Roman" w:cs="Times New Roman"/>
          <w:sz w:val="24"/>
          <w:szCs w:val="24"/>
        </w:rPr>
        <w:t xml:space="preserve">Россельхозбанк</w:t>
      </w:r>
      <w:r>
        <w:rPr>
          <w:rFonts w:ascii="Times New Roman" w:hAnsi="Times New Roman" w:cs="Times New Roman"/>
          <w:sz w:val="24"/>
          <w:szCs w:val="24"/>
        </w:rPr>
        <w:t xml:space="preserve">» для проведения обязательной ежегодной аудиторской проверки за 2025 год (Распоряжение </w:t>
      </w:r>
      <w:r>
        <w:rPr>
          <w:rFonts w:ascii="Times New Roman" w:hAnsi="Times New Roman" w:cs="Times New Roman"/>
          <w:sz w:val="24"/>
          <w:szCs w:val="24"/>
        </w:rPr>
        <w:t xml:space="preserve">Росимущества</w:t>
      </w:r>
      <w:r>
        <w:rPr>
          <w:rFonts w:ascii="Times New Roman" w:hAnsi="Times New Roman" w:cs="Times New Roman"/>
          <w:sz w:val="24"/>
          <w:szCs w:val="24"/>
        </w:rPr>
        <w:t xml:space="preserve"> от 30.06.2025 № 1279-р).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1"/>
      </w:pPr>
      <w:r>
        <w:rPr>
          <w:rFonts w:ascii="Times New Roman" w:hAnsi="Times New Roman" w:cs="Times New Roman"/>
          <w:b/>
          <w:sz w:val="24"/>
          <w:szCs w:val="24"/>
        </w:rPr>
        <w:br w:type="page" w:clear="all"/>
      </w:r>
      <w:r>
        <w:rPr>
          <w:rFonts w:ascii="Times New Roman" w:hAnsi="Times New Roman" w:cs="Times New Roman"/>
          <w:b/>
          <w:sz w:val="24"/>
          <w:szCs w:val="24"/>
        </w:rPr>
        <w:t xml:space="preserve">Раздел 5. Консолидированная финансовая отчетность (финансовая отчетность), бухгалтерская (финансовая) отчетность эмитента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5.1. Консолидированная финансовая отчетность (финансовая отчетность) эмитента*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5"/>
        <w:gridCol w:w="5587"/>
        <w:gridCol w:w="3544"/>
      </w:tblGrid>
      <w:tr>
        <w:tblPrEx/>
        <w:trPr>
          <w:jc w:val="center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отчетности, иного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приложения к отчету эмитента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8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Аудиторское заключение независимого аудитора о консолидированной финансовой отчетности Акционерного общества «Российский Сельскохозяйственный банк» и его дочерних организаций за 2025 год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544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after="0" w:afterAutospacing="0" w:line="240" w:lineRule="auto"/>
              <w:rPr>
                <w:rFonts w:ascii="Times New Roman" w:hAnsi="Times New Roman" w:cs="Times New Roman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соответствии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абзацем 12 пункта 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Постановления Правительства Российской Федерации от 04.07.2023 № 1102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едерального закона «О рынке ценных бумаг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» 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Решением Совета директоров Банка России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19.12.2025 «О требованиях к раскрытию кредитными организациями (головными кредитными организациями банковских групп) отчетности и информации в 2026 году»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риложение 1 к Отчету эмитента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раскрывается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Аудиторское заключение независимого аудитора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Консолидированный отчет о финансовом положении по состоянию на 31 декабря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Консолидированный отчет о прибылях и убытках и прочем совокупном доходе за год, закончившийся 31 декабря 2025 г.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54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2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Консолидированный отчет об изменениях капитала за год, закончившийся 31 декабря 2025 г.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1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Консолидированный отчет о движении денежных средств за год, закончившийся 31 декабря 2025 г.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51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87" w:type="dxa"/>
            <w:textDirection w:val="lrTb"/>
            <w:noWrap w:val="false"/>
          </w:tcPr>
          <w:p>
            <w:pPr>
              <w:ind w:left="-55"/>
              <w:jc w:val="both"/>
              <w:spacing w:after="0" w:line="240" w:lineRule="auto"/>
              <w:tabs>
                <w:tab w:val="left" w:pos="-55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Примечания к консолидированной финансовой отчетности – 31 декабря 2025 г.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544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 сайте Банка и на странице в сети Интернет раскрыта Обобщенная консолидированная финансовая отчетность: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5561"/>
        <w:gridCol w:w="3789"/>
      </w:tblGrid>
      <w:tr>
        <w:tblPrEx/>
        <w:trPr>
          <w:jc w:val="center"/>
          <w:trHeight w:val="564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отчетности, иного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страницу в сети «Интернет»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780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Обобщенная консолидированная финансовая отчетность Акционерного общества «Российский Сельскохозяйственный банк» и его дочерних организаций за 2025 год и аудиторское заключение независимого аудитора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378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Style w:val="1063"/>
                <w:rFonts w:ascii="Times New Roman" w:hAnsi="Times New Roman"/>
                <w:sz w:val="24"/>
                <w:szCs w:val="24"/>
              </w:rPr>
            </w:pPr>
            <w:r/>
            <w:hyperlink r:id="rId38" w:tooltip="https://www.e-disclosure.ru/portal/files.aspx?id=3207&amp;type=4" w:history="1">
              <w:r>
                <w:rPr>
                  <w:rStyle w:val="1063"/>
                  <w:rFonts w:ascii="Times New Roman" w:hAnsi="Times New Roman"/>
                  <w:sz w:val="24"/>
                  <w:szCs w:val="24"/>
                </w:rPr>
                <w:t xml:space="preserve">https://www.e-disclosure.ru/portal/files.aspx?id=3207&amp;type=4</w:t>
              </w:r>
            </w:hyperlink>
            <w:r>
              <w:rPr>
                <w:rStyle w:val="1063"/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Style w:val="1063"/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Style w:val="1063"/>
                <w:rFonts w:ascii="Times New Roman" w:hAnsi="Times New Roman"/>
                <w:sz w:val="24"/>
                <w:szCs w:val="24"/>
              </w:rPr>
            </w:pPr>
            <w:r/>
            <w:hyperlink r:id="rId39" w:tooltip="https://www.rshb.ru/investors/msfo/" w:history="1">
              <w:r>
                <w:rPr>
                  <w:rStyle w:val="1063"/>
                  <w:rFonts w:ascii="Times New Roman" w:hAnsi="Times New Roman"/>
                  <w:sz w:val="24"/>
                  <w:szCs w:val="24"/>
                </w:rPr>
                <w:t xml:space="preserve">https://www.rshb.ru/investors/msfo/</w:t>
              </w:r>
            </w:hyperlink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  <w:r>
              <w:rPr>
                <w:rStyle w:val="1063"/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Аудиторское заключение независимого аудитора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587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Обобщенный консолидированный отчет о финансовом положении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Обобщенный консолидированный отчет о прибылях и убытках и прочем совокупном доходе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84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Обобщенный консолидированный отчет об изменениях капитала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  <w:tr>
        <w:tblPrEx/>
        <w:trPr>
          <w:jc w:val="center"/>
          <w:trHeight w:val="271"/>
        </w:trPr>
        <w:tc>
          <w:tcPr>
            <w:tcW w:w="71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Примечания к обобщенной консолидированной финансовой отчетности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9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sz w:val="24"/>
          <w:szCs w:val="24"/>
        </w:rPr>
        <w:t xml:space="preserve">5.2. Бухгалтерская (финансовая) отчетность*</w: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</w:r>
    </w:p>
    <w:tbl>
      <w:tblPr>
        <w:tblW w:w="102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45"/>
        <w:gridCol w:w="6296"/>
        <w:gridCol w:w="3261"/>
      </w:tblGrid>
      <w:tr>
        <w:tblPrEx/>
        <w:trPr>
          <w:jc w:val="center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отчетности, иного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 приложения к отчету эмитента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537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Аудиторское заключение независимого аудитора о годовой бухгалтерской (финансовой) отчетности Акционерного общества «Российский Сельскохозяйственный банк» за 2025 год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26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after="0" w:afterAutospacing="0" w:line="240" w:lineRule="auto"/>
              <w:rPr>
                <w:rFonts w:ascii="Times New Roman" w:hAnsi="Times New Roman" w:cs="Times New Roman"/>
                <w:highlight w:val="whit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соответствии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с абзацем 12 пункта 1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Постановления Правительства Российской Федерации от 04.07.2023 № 1102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 и Ф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едерального закона «О рынке ценных бумаг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» 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Решением Совета директоров Банка России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19.12.2025 «О требованиях к раскрытию кредитными организациями (головными кредитными организациями банковских групп) отчетности и информации в 2026 году»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риложение 1 к Отчету эмитента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white"/>
              </w:rPr>
              <w:t xml:space="preserve">не раскрывается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Аудиторское заключение независимого аудитора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Бухгалтерский баланс (публикуемая форма) за 2025 год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 финансовых результатах (публикуемая форма) за 2025 год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2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об уровне достаточности капитала для покрытия рисков (публикуемая форма) по состоянию на 1 января 2026 г.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1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об изменениях в капитале кредитной организации (публикуемая форма) на 1 января 2026 г.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63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об обязательных нормативах, показателе финансового рычага и нормативе краткосрочной ликвидности (публикуемая форма) по состоянию на                     1 января 2026 г.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51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 движении денежных средств (публикуемая форма) по состоянию на 1 января 2026 г.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88"/>
        </w:trPr>
        <w:tc>
          <w:tcPr>
            <w:tcW w:w="645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6296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Пояснения к годовой бухгалтерской (финансовой) отчетности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261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  <w:outlineLvl w:val="2"/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*На сайте Банка и на странице в сети Интернет раскрыта Бухгалтерская (финансовая) отчетность с изъятиями:</w:t>
      </w: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tbl>
      <w:tblPr>
        <w:tblW w:w="10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568"/>
        <w:gridCol w:w="3783"/>
      </w:tblGrid>
      <w:tr>
        <w:tblPrEx/>
        <w:trPr>
          <w:jc w:val="center"/>
          <w:trHeight w:val="61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формы отчетности, иного документа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страницу в сети «Интернет»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378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040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Аудиторское заключение независимого аудитора о публикуемой отчетности Акционерного общества «Российский Сельскохозяйственный банк» за 2025 год</w:t>
            </w:r>
            <w:r>
              <w:rPr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78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/>
            <w:hyperlink r:id="rId40" w:tooltip="https://www.e-disclosure.ru/portal/files.aspx?id=3207&amp;type=4" w:history="1">
              <w:r>
                <w:rPr>
                  <w:rFonts w:ascii="Times New Roman" w:hAnsi="Times New Roman" w:eastAsia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https://www.e-disclosure.ru/portal/files.aspx?id=3207&amp;type=3</w:t>
              </w:r>
            </w:hyperlink>
            <w:r>
              <w:rPr>
                <w:rStyle w:val="1063"/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063"/>
                <w:rFonts w:ascii="Times New Roman" w:hAnsi="Times New Roman"/>
                <w:sz w:val="24"/>
                <w:szCs w:val="24"/>
              </w:rPr>
              <w:t xml:space="preserve">https://www.rshb.ru/about/reports-conclusion/accounting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Аудиторское заключение независимого аудитора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Бухгалтерский баланс (публикуемая форма) за 2025 год (с изъятиями)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 финансовых результатах (публикуемая форма) за 2025 год (с изъятиями)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22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об уровне достаточности капитала для покрытия рисков (публикуемая форма) по состоянию на 1 января 2026 г. (с изъятиями)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71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Отчет об изменениях в капитале кредитной организации (публикуемая форма) на 1 января 2026 г. (с изъятиями)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1076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1.6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Сведения об обязательных нормативах, нормативе финансового рычага и нормативе краткосрочной ликвидности (публикуемая форма) по состоянию на 1 января 2026 г. (с изъятиями)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  <w:trHeight w:val="201"/>
        </w:trPr>
        <w:tc>
          <w:tcPr>
            <w:tcW w:w="709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1.7.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5568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Примечание. Принципы составления публикуемой отчетности Акционерного общества «Российский Сельскохозяйственный банк» за 2025 год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3783" w:type="dxa"/>
            <w:vMerge w:val="continue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r/>
      <w:r/>
    </w:p>
    <w:sectPr>
      <w:footerReference w:type="default" r:id="rId9"/>
      <w:footnotePr/>
      <w:endnotePr/>
      <w:type w:val="nextPage"/>
      <w:pgSz w:w="11905" w:h="16838" w:orient="portrait"/>
      <w:pgMar w:top="709" w:right="709" w:bottom="567" w:left="1701" w:header="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,Bold">
    <w:panose1 w:val="020F0502020204030204"/>
  </w:font>
  <w:font w:name="Symbol">
    <w:panose1 w:val="05050102010706020507"/>
  </w:font>
  <w:font w:name="Matura MT Script Capitals">
    <w:panose1 w:val="03020802060602070202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Garamond">
    <w:panose1 w:val="02020404030301010803"/>
  </w:font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352030446"/>
      <w:docPartObj>
        <w:docPartGallery w:val="Page Numbers (Bottom of Page)"/>
        <w:docPartUnique w:val="true"/>
      </w:docPartObj>
      <w:rPr/>
    </w:sdtPr>
    <w:sdtContent>
      <w:p>
        <w:pPr>
          <w:pStyle w:val="105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17</w:t>
        </w:r>
        <w:r>
          <w:fldChar w:fldCharType="end"/>
        </w:r>
        <w:r/>
      </w:p>
    </w:sdtContent>
  </w:sdt>
  <w:p>
    <w:pPr>
      <w:pStyle w:val="1055"/>
      <w:jc w:val="center"/>
      <w:rPr>
        <w:lang w:val="en-US"/>
      </w:rPr>
    </w:pPr>
    <w:r>
      <w:rPr>
        <w:lang w:val="en-US"/>
      </w:rPr>
    </w:r>
    <w:r>
      <w:rPr>
        <w:lang w:val="en-US"/>
      </w:rPr>
    </w:r>
    <w:r>
      <w:rPr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116"/>
        <w:rPr>
          <w:rFonts w:ascii="Times New Roman" w:hAnsi="Times New Roman" w:cs="Times New Roman"/>
        </w:rPr>
      </w:pPr>
      <w:r>
        <w:rPr>
          <w:rStyle w:val="1118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</w:rPr>
        <w:t xml:space="preserve">См. «</w:t>
      </w:r>
      <w:r>
        <w:rPr>
          <w:rFonts w:ascii="Times New Roman" w:hAnsi="Times New Roman" w:eastAsia="Times New Roman" w:cs="Times New Roman"/>
          <w:highlight w:val="white"/>
        </w:rPr>
        <w:t xml:space="preserve">Статистические показатели банковского сектора Российской Федерации». (https://cbr.ru/Collection/Collection/File/55170/obs_268.xlsx</w:t>
      </w:r>
      <w:r>
        <w:rPr>
          <w:rFonts w:ascii="Times New Roman" w:hAnsi="Times New Roman" w:eastAsia="Times New Roman" w:cs="Times New Roman"/>
        </w:rPr>
        <w:t xml:space="preserve">, вкладка Алгоритмы (табл.4)).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3">
    <w:p>
      <w:pPr>
        <w:pStyle w:val="1116"/>
        <w:jc w:val="both"/>
        <w:rPr>
          <w:rFonts w:ascii="Times New Roman" w:hAnsi="Times New Roman" w:cs="Times New Roman"/>
        </w:rPr>
      </w:pPr>
      <w:r>
        <w:rPr>
          <w:rStyle w:val="1118"/>
        </w:rPr>
        <w:footnoteRef/>
      </w:r>
      <w: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lang w:eastAsia="ru-RU"/>
        </w:rPr>
        <w:t xml:space="preserve">ПВР</w:t>
      </w:r>
      <w:r>
        <w:rPr>
          <w:rFonts w:ascii="Times New Roman" w:hAnsi="Times New Roman" w:eastAsia="Times New Roman" w:cs="Times New Roman"/>
          <w:lang w:eastAsia="ru-RU"/>
        </w:rPr>
        <w:t xml:space="preserve"> -</w:t>
      </w:r>
      <w:r>
        <w:rPr>
          <w:rFonts w:ascii="Times New Roman" w:hAnsi="Times New Roman" w:eastAsia="Times New Roman" w:cs="Times New Roman"/>
          <w:bCs/>
          <w:lang w:eastAsia="ru-RU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подход по применению банковских методик управления кредитным риском и моделей количественной оценки кредитного риска в рамках подхода на основе внутренних рейтингов.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4">
    <w:p>
      <w:pPr>
        <w:pStyle w:val="1116"/>
        <w:jc w:val="both"/>
        <w:rPr>
          <w:rFonts w:ascii="Times New Roman" w:hAnsi="Times New Roman" w:eastAsia="Times New Roman" w:cs="Times New Roman"/>
          <w:sz w:val="18"/>
          <w:szCs w:val="18"/>
        </w:rPr>
      </w:pPr>
      <w:r>
        <w:rPr>
          <w:rStyle w:val="1118"/>
          <w:rFonts w:ascii="Times New Roman" w:hAnsi="Times New Roman" w:eastAsia="Times New Roman" w:cs="Times New Roman"/>
          <w:sz w:val="18"/>
          <w:szCs w:val="18"/>
        </w:rPr>
        <w:footnoteRef/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 Риск аутсорсинга, связанный с размещением, хранением и иной обработкой информации с использованием ИС и их компонентов.</w:t>
      </w:r>
      <w:r>
        <w:rPr>
          <w:rFonts w:ascii="Times New Roman" w:hAnsi="Times New Roman" w:eastAsia="Times New Roman" w:cs="Times New Roman"/>
          <w:sz w:val="18"/>
          <w:szCs w:val="18"/>
        </w:rPr>
      </w:r>
      <w:r>
        <w:rPr>
          <w:rFonts w:ascii="Times New Roman" w:hAnsi="Times New Roman" w:eastAsia="Times New Roman" w:cs="Times New Roman"/>
          <w:sz w:val="18"/>
          <w:szCs w:val="18"/>
        </w:rPr>
      </w:r>
    </w:p>
  </w:footnote>
  <w:footnote w:id="5">
    <w:p>
      <w:pPr>
        <w:pStyle w:val="1116"/>
        <w:jc w:val="both"/>
        <w:rPr>
          <w:rFonts w:ascii="Times New Roman" w:hAnsi="Times New Roman" w:cs="Times New Roman"/>
        </w:rPr>
      </w:pPr>
      <w:r>
        <w:rPr>
          <w:rStyle w:val="1131"/>
        </w:rPr>
        <w:footnoteRef/>
      </w:r>
      <w:r>
        <w:rPr>
          <w:rFonts w:ascii="Times New Roman" w:hAnsi="Times New Roman" w:eastAsia="Times New Roman" w:cs="Times New Roman"/>
        </w:rPr>
        <w:t xml:space="preserve"> Распоряжение </w:t>
      </w:r>
      <w:r>
        <w:rPr>
          <w:rFonts w:ascii="Times New Roman" w:hAnsi="Times New Roman" w:eastAsia="Times New Roman" w:cs="Times New Roman"/>
        </w:rPr>
        <w:t xml:space="preserve">Росимущества</w:t>
      </w:r>
      <w:r>
        <w:rPr>
          <w:rFonts w:ascii="Times New Roman" w:hAnsi="Times New Roman" w:eastAsia="Times New Roman" w:cs="Times New Roman"/>
          <w:bCs/>
        </w:rPr>
        <w:t xml:space="preserve"> от 30</w:t>
      </w:r>
      <w:r>
        <w:rPr>
          <w:rFonts w:ascii="Times New Roman" w:hAnsi="Times New Roman" w:eastAsia="Times New Roman" w:cs="Times New Roman"/>
        </w:rPr>
        <w:t xml:space="preserve">.06.2025 № 1279-р</w:t>
      </w:r>
      <w:r>
        <w:rPr>
          <w:rFonts w:ascii="Times New Roman" w:hAnsi="Times New Roman" w:eastAsia="Times New Roman" w:cs="Times New Roman"/>
          <w:bCs/>
          <w:color w:val="00b0f0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6">
    <w:p>
      <w:pPr>
        <w:pStyle w:val="1116"/>
        <w:rPr>
          <w:rFonts w:ascii="Times New Roman" w:hAnsi="Times New Roman" w:cs="Times New Roman"/>
          <w:sz w:val="18"/>
          <w:szCs w:val="18"/>
        </w:rPr>
      </w:pPr>
      <w:r>
        <w:rPr>
          <w:rStyle w:val="1118"/>
          <w:rFonts w:ascii="Times New Roman" w:hAnsi="Times New Roman" w:eastAsia="Times New Roman" w:cs="Times New Roman"/>
          <w:sz w:val="18"/>
          <w:szCs w:val="18"/>
        </w:rPr>
        <w:footnoteRef/>
      </w:r>
      <w:r>
        <w:rPr>
          <w:rFonts w:ascii="Times New Roman" w:hAnsi="Times New Roman" w:eastAsia="Times New Roman" w:cs="Times New Roman"/>
          <w:sz w:val="18"/>
          <w:szCs w:val="18"/>
        </w:rPr>
        <w:t xml:space="preserve"> Р</w:t>
      </w:r>
      <w:r>
        <w:rPr>
          <w:rFonts w:ascii="Times New Roman" w:hAnsi="Times New Roman" w:eastAsia="Times New Roman" w:cs="Times New Roman"/>
        </w:rPr>
        <w:t xml:space="preserve">ешение Наблюдательного совета Банка от 28.02.2023 (протокол № 2, дата составления 02.03.2023).</w:t>
      </w:r>
      <w:bookmarkStart w:id="13" w:name="undefined"/>
      <w:r/>
      <w:bookmarkEnd w:id="13"/>
      <w:r>
        <w:rPr>
          <w:rFonts w:ascii="Times New Roman" w:hAnsi="Times New Roman" w:cs="Times New Roman"/>
          <w:sz w:val="18"/>
          <w:szCs w:val="18"/>
        </w:rPr>
      </w:r>
      <w:r>
        <w:rPr>
          <w:rFonts w:ascii="Times New Roman" w:hAnsi="Times New Roman" w:cs="Times New Roman"/>
          <w:sz w:val="18"/>
          <w:szCs w:val="18"/>
        </w:rPr>
      </w:r>
    </w:p>
  </w:footnote>
  <w:footnote w:id="7">
    <w:p>
      <w:pPr>
        <w:pStyle w:val="1116"/>
        <w:rPr>
          <w:rFonts w:ascii="Times New Roman" w:hAnsi="Times New Roman" w:cs="Times New Roman"/>
        </w:rPr>
      </w:pPr>
      <w:r>
        <w:rPr>
          <w:rStyle w:val="1118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Решение Наблюдательного совета Банка от 15.09.2025 (протокол № 14, дата составления 18.09.2025).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8">
    <w:p>
      <w:pPr>
        <w:pStyle w:val="1116"/>
        <w:rPr>
          <w:rFonts w:ascii="Times New Roman" w:hAnsi="Times New Roman" w:cs="Times New Roman"/>
        </w:rPr>
      </w:pPr>
      <w:r>
        <w:rPr>
          <w:rStyle w:val="1118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Решение Наблюдательного совета Банка от 15.09.2025 (протокол № 14, дата составления 18.09.2025).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9">
    <w:p>
      <w:pPr>
        <w:pStyle w:val="1116"/>
        <w:rPr>
          <w:rFonts w:ascii="Times New Roman" w:hAnsi="Times New Roman" w:cs="Times New Roman"/>
        </w:rPr>
      </w:pPr>
      <w:r>
        <w:rPr>
          <w:rStyle w:val="1131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Распоряжение </w:t>
      </w:r>
      <w:r>
        <w:rPr>
          <w:rFonts w:ascii="Times New Roman" w:hAnsi="Times New Roman" w:eastAsia="Times New Roman" w:cs="Times New Roman"/>
        </w:rPr>
        <w:t xml:space="preserve">Росимущества</w:t>
      </w:r>
      <w:r>
        <w:rPr>
          <w:rFonts w:ascii="Times New Roman" w:hAnsi="Times New Roman" w:eastAsia="Times New Roman" w:cs="Times New Roman"/>
          <w:bCs/>
        </w:rPr>
        <w:t xml:space="preserve"> от </w:t>
      </w:r>
      <w:r>
        <w:rPr>
          <w:rFonts w:ascii="Times New Roman" w:hAnsi="Times New Roman" w:eastAsia="Times New Roman" w:cs="Times New Roman"/>
        </w:rPr>
        <w:t xml:space="preserve">30.06.2025 № 1279-р</w:t>
      </w:r>
      <w:r>
        <w:rPr>
          <w:rFonts w:ascii="Times New Roman" w:hAnsi="Times New Roman" w:eastAsia="Times New Roman" w:cs="Times New Roman"/>
          <w:bCs/>
          <w:color w:val="00b0f0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10">
    <w:p>
      <w:pPr>
        <w:pStyle w:val="1116"/>
        <w:jc w:val="both"/>
        <w:rPr>
          <w:rFonts w:ascii="Times New Roman" w:hAnsi="Times New Roman" w:cs="Times New Roman"/>
        </w:rPr>
      </w:pPr>
      <w:r>
        <w:rPr>
          <w:rStyle w:val="1118"/>
        </w:rPr>
        <w:footnoteRef/>
      </w:r>
      <w:r>
        <w:t xml:space="preserve"> В</w:t>
      </w:r>
      <w:r>
        <w:rPr>
          <w:rFonts w:ascii="Times New Roman" w:hAnsi="Times New Roman" w:cs="Times New Roman"/>
        </w:rPr>
        <w:t xml:space="preserve">о исполнение требований Приказа Федерального агентства по управлению государственным имуществом (далее – </w:t>
      </w:r>
      <w:r>
        <w:rPr>
          <w:rFonts w:ascii="Times New Roman" w:hAnsi="Times New Roman" w:cs="Times New Roman"/>
        </w:rPr>
        <w:t xml:space="preserve">Росимущество</w:t>
      </w:r>
      <w:r>
        <w:rPr>
          <w:rFonts w:ascii="Times New Roman" w:hAnsi="Times New Roman" w:cs="Times New Roman"/>
        </w:rPr>
        <w:t xml:space="preserve">) от 22.02.2011 № 48 «Об организации работы структурных подразделений Федерального агентства по управлению государственным имуществом и его территориальных органов по обес</w:t>
      </w:r>
      <w:r>
        <w:rPr>
          <w:rFonts w:ascii="Times New Roman" w:hAnsi="Times New Roman" w:cs="Times New Roman"/>
        </w:rPr>
        <w:t xml:space="preserve">печению проведения обязательного ежегодного аудита бухгалтерской (финансовой) отчетности федеральных государственных унитарных предприятий и акционерных обществ, в уставных капиталах которых доля федеральной собственности составляет не менее 25 процентов».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11">
    <w:p>
      <w:pPr>
        <w:pStyle w:val="1116"/>
        <w:rPr>
          <w:rFonts w:ascii="Times New Roman" w:hAnsi="Times New Roman" w:cs="Times New Roman"/>
        </w:rPr>
      </w:pPr>
      <w:r>
        <w:rPr>
          <w:rStyle w:val="1131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С 14.01.2026 – ООО «Б1 – Аудит»</w:t>
      </w:r>
      <w:r>
        <w:rPr>
          <w:rFonts w:ascii="Times New Roman" w:hAnsi="Times New Roman" w:eastAsia="Times New Roman" w:cs="Times New Roman"/>
          <w:bCs/>
          <w:color w:val="000000" w:themeColor="text1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554" w:hanging="360"/>
        <w:tabs>
          <w:tab w:val="num" w:pos="1554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72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72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72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72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72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72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72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72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72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65535"/>
      <w:numFmt w:val="bullet"/>
      <w:isLgl w:val="false"/>
      <w:suff w:val="tab"/>
      <w:lvlText w:val="–"/>
      <w:lvlJc w:val="left"/>
      <w:pPr>
        <w:ind w:left="5747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64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718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790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86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934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1006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107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1150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360" w:hanging="360"/>
      </w:pPr>
      <w:rPr>
        <w:rFonts w:hint="default" w:ascii="Matura MT Script Capitals" w:hAnsi="Matura MT Script Capital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  <w:color w:val="auto"/>
        <w:highlight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</w:pPr>
      <w:rPr>
        <w:rFonts w:hint="default" w:ascii="Arial" w:hAnsi="Arial"/>
        <w:color w:val="auto"/>
        <w:highlight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9">
    <w:multiLevelType w:val="hybridMultilevel"/>
    <w:lvl w:ilvl="0">
      <w:start w:val="5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18"/>
  </w:num>
  <w:num w:numId="5">
    <w:abstractNumId w:val="15"/>
  </w:num>
  <w:num w:numId="6">
    <w:abstractNumId w:val="9"/>
  </w:num>
  <w:num w:numId="7">
    <w:abstractNumId w:val="0"/>
  </w:num>
  <w:num w:numId="8">
    <w:abstractNumId w:val="10"/>
  </w:num>
  <w:num w:numId="9">
    <w:abstractNumId w:val="3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 w:numId="16">
    <w:abstractNumId w:val="14"/>
  </w:num>
  <w:num w:numId="17">
    <w:abstractNumId w:val="19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66" w:default="1">
    <w:name w:val="Normal"/>
    <w:qFormat/>
  </w:style>
  <w:style w:type="paragraph" w:styleId="867">
    <w:name w:val="Heading 1"/>
    <w:basedOn w:val="866"/>
    <w:next w:val="866"/>
    <w:link w:val="1062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b/>
      <w:szCs w:val="20"/>
      <w:lang w:eastAsia="ru-RU"/>
    </w:rPr>
  </w:style>
  <w:style w:type="paragraph" w:styleId="868">
    <w:name w:val="Heading 2"/>
    <w:basedOn w:val="866"/>
    <w:next w:val="866"/>
    <w:link w:val="8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69">
    <w:name w:val="Heading 3"/>
    <w:basedOn w:val="866"/>
    <w:next w:val="866"/>
    <w:link w:val="89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70">
    <w:name w:val="Heading 4"/>
    <w:basedOn w:val="866"/>
    <w:next w:val="866"/>
    <w:link w:val="89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1">
    <w:name w:val="Heading 5"/>
    <w:basedOn w:val="866"/>
    <w:next w:val="866"/>
    <w:link w:val="1105"/>
    <w:uiPriority w:val="9"/>
    <w:semiHidden/>
    <w:unhideWhenUsed/>
    <w:qFormat/>
    <w:pPr>
      <w:keepLines/>
      <w:keepNext/>
      <w:spacing w:before="40" w:after="0"/>
      <w:outlineLvl w:val="4"/>
    </w:pPr>
    <w:rPr>
      <w:rFonts w:asciiTheme="majorHAnsi" w:hAnsiTheme="majorHAnsi" w:eastAsiaTheme="majorEastAsia" w:cstheme="majorBidi"/>
      <w:color w:val="2e74b5" w:themeColor="accent1" w:themeShade="BF"/>
    </w:rPr>
  </w:style>
  <w:style w:type="paragraph" w:styleId="872">
    <w:name w:val="Heading 6"/>
    <w:basedOn w:val="866"/>
    <w:next w:val="866"/>
    <w:link w:val="89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873">
    <w:name w:val="Heading 7"/>
    <w:basedOn w:val="866"/>
    <w:next w:val="866"/>
    <w:link w:val="8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874">
    <w:name w:val="Heading 8"/>
    <w:basedOn w:val="866"/>
    <w:next w:val="866"/>
    <w:link w:val="89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875">
    <w:name w:val="Heading 9"/>
    <w:basedOn w:val="866"/>
    <w:next w:val="866"/>
    <w:link w:val="89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6" w:default="1">
    <w:name w:val="Default Paragraph Font"/>
    <w:uiPriority w:val="1"/>
    <w:semiHidden/>
    <w:unhideWhenUsed/>
  </w:style>
  <w:style w:type="table" w:styleId="8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8" w:default="1">
    <w:name w:val="No List"/>
    <w:uiPriority w:val="99"/>
    <w:semiHidden/>
    <w:unhideWhenUsed/>
  </w:style>
  <w:style w:type="character" w:styleId="879" w:customStyle="1">
    <w:name w:val="Heading 2 Char"/>
    <w:basedOn w:val="876"/>
    <w:uiPriority w:val="9"/>
    <w:rPr>
      <w:rFonts w:ascii="Arial" w:hAnsi="Arial" w:eastAsia="Arial" w:cs="Arial"/>
      <w:sz w:val="34"/>
    </w:rPr>
  </w:style>
  <w:style w:type="character" w:styleId="880" w:customStyle="1">
    <w:name w:val="Heading 3 Char"/>
    <w:basedOn w:val="876"/>
    <w:uiPriority w:val="9"/>
    <w:rPr>
      <w:rFonts w:ascii="Arial" w:hAnsi="Arial" w:eastAsia="Arial" w:cs="Arial"/>
      <w:sz w:val="30"/>
      <w:szCs w:val="30"/>
    </w:rPr>
  </w:style>
  <w:style w:type="character" w:styleId="881" w:customStyle="1">
    <w:name w:val="Heading 4 Char"/>
    <w:basedOn w:val="876"/>
    <w:uiPriority w:val="9"/>
    <w:rPr>
      <w:rFonts w:ascii="Arial" w:hAnsi="Arial" w:eastAsia="Arial" w:cs="Arial"/>
      <w:b/>
      <w:bCs/>
      <w:sz w:val="26"/>
      <w:szCs w:val="26"/>
    </w:rPr>
  </w:style>
  <w:style w:type="character" w:styleId="882" w:customStyle="1">
    <w:name w:val="Heading 6 Char"/>
    <w:basedOn w:val="876"/>
    <w:uiPriority w:val="9"/>
    <w:rPr>
      <w:rFonts w:ascii="Arial" w:hAnsi="Arial" w:eastAsia="Arial" w:cs="Arial"/>
      <w:b/>
      <w:bCs/>
      <w:sz w:val="22"/>
      <w:szCs w:val="22"/>
    </w:rPr>
  </w:style>
  <w:style w:type="character" w:styleId="883" w:customStyle="1">
    <w:name w:val="Heading 7 Char"/>
    <w:basedOn w:val="8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84" w:customStyle="1">
    <w:name w:val="Heading 8 Char"/>
    <w:basedOn w:val="876"/>
    <w:uiPriority w:val="9"/>
    <w:rPr>
      <w:rFonts w:ascii="Arial" w:hAnsi="Arial" w:eastAsia="Arial" w:cs="Arial"/>
      <w:i/>
      <w:iCs/>
      <w:sz w:val="22"/>
      <w:szCs w:val="22"/>
    </w:rPr>
  </w:style>
  <w:style w:type="character" w:styleId="885" w:customStyle="1">
    <w:name w:val="Heading 9 Char"/>
    <w:basedOn w:val="876"/>
    <w:uiPriority w:val="9"/>
    <w:rPr>
      <w:rFonts w:ascii="Arial" w:hAnsi="Arial" w:eastAsia="Arial" w:cs="Arial"/>
      <w:i/>
      <w:iCs/>
      <w:sz w:val="21"/>
      <w:szCs w:val="21"/>
    </w:rPr>
  </w:style>
  <w:style w:type="character" w:styleId="886" w:customStyle="1">
    <w:name w:val="Title Char"/>
    <w:basedOn w:val="876"/>
    <w:uiPriority w:val="10"/>
    <w:rPr>
      <w:sz w:val="48"/>
      <w:szCs w:val="48"/>
    </w:rPr>
  </w:style>
  <w:style w:type="character" w:styleId="887" w:customStyle="1">
    <w:name w:val="Subtitle Char"/>
    <w:basedOn w:val="876"/>
    <w:uiPriority w:val="11"/>
    <w:rPr>
      <w:sz w:val="24"/>
      <w:szCs w:val="24"/>
    </w:rPr>
  </w:style>
  <w:style w:type="character" w:styleId="888" w:customStyle="1">
    <w:name w:val="Quote Char"/>
    <w:uiPriority w:val="29"/>
    <w:rPr>
      <w:i/>
    </w:rPr>
  </w:style>
  <w:style w:type="character" w:styleId="889" w:customStyle="1">
    <w:name w:val="Intense Quote Char"/>
    <w:uiPriority w:val="30"/>
    <w:rPr>
      <w:i/>
    </w:rPr>
  </w:style>
  <w:style w:type="character" w:styleId="890" w:customStyle="1">
    <w:name w:val="Endnote Text Char"/>
    <w:uiPriority w:val="99"/>
    <w:rPr>
      <w:sz w:val="20"/>
    </w:rPr>
  </w:style>
  <w:style w:type="character" w:styleId="891" w:customStyle="1">
    <w:name w:val="Heading 1 Char"/>
    <w:basedOn w:val="876"/>
    <w:uiPriority w:val="9"/>
    <w:rPr>
      <w:rFonts w:ascii="Arial" w:hAnsi="Arial" w:eastAsia="Arial" w:cs="Arial"/>
      <w:sz w:val="40"/>
      <w:szCs w:val="40"/>
    </w:rPr>
  </w:style>
  <w:style w:type="character" w:styleId="892" w:customStyle="1">
    <w:name w:val="Заголовок 2 Знак"/>
    <w:basedOn w:val="876"/>
    <w:link w:val="868"/>
    <w:uiPriority w:val="9"/>
    <w:rPr>
      <w:rFonts w:ascii="Arial" w:hAnsi="Arial" w:eastAsia="Arial" w:cs="Arial"/>
      <w:sz w:val="34"/>
    </w:rPr>
  </w:style>
  <w:style w:type="character" w:styleId="893" w:customStyle="1">
    <w:name w:val="Заголовок 3 Знак"/>
    <w:basedOn w:val="876"/>
    <w:link w:val="869"/>
    <w:uiPriority w:val="9"/>
    <w:rPr>
      <w:rFonts w:ascii="Arial" w:hAnsi="Arial" w:eastAsia="Arial" w:cs="Arial"/>
      <w:sz w:val="30"/>
      <w:szCs w:val="30"/>
    </w:rPr>
  </w:style>
  <w:style w:type="character" w:styleId="894" w:customStyle="1">
    <w:name w:val="Заголовок 4 Знак"/>
    <w:basedOn w:val="876"/>
    <w:link w:val="870"/>
    <w:uiPriority w:val="9"/>
    <w:rPr>
      <w:rFonts w:ascii="Arial" w:hAnsi="Arial" w:eastAsia="Arial" w:cs="Arial"/>
      <w:b/>
      <w:bCs/>
      <w:sz w:val="26"/>
      <w:szCs w:val="26"/>
    </w:rPr>
  </w:style>
  <w:style w:type="character" w:styleId="895" w:customStyle="1">
    <w:name w:val="Heading 5 Char"/>
    <w:basedOn w:val="876"/>
    <w:uiPriority w:val="9"/>
    <w:rPr>
      <w:rFonts w:ascii="Arial" w:hAnsi="Arial" w:eastAsia="Arial" w:cs="Arial"/>
      <w:b/>
      <w:bCs/>
      <w:sz w:val="24"/>
      <w:szCs w:val="24"/>
    </w:rPr>
  </w:style>
  <w:style w:type="character" w:styleId="896" w:customStyle="1">
    <w:name w:val="Заголовок 6 Знак"/>
    <w:basedOn w:val="876"/>
    <w:link w:val="872"/>
    <w:uiPriority w:val="9"/>
    <w:rPr>
      <w:rFonts w:ascii="Arial" w:hAnsi="Arial" w:eastAsia="Arial" w:cs="Arial"/>
      <w:b/>
      <w:bCs/>
      <w:sz w:val="22"/>
      <w:szCs w:val="22"/>
    </w:rPr>
  </w:style>
  <w:style w:type="character" w:styleId="897" w:customStyle="1">
    <w:name w:val="Заголовок 7 Знак"/>
    <w:basedOn w:val="876"/>
    <w:link w:val="87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8" w:customStyle="1">
    <w:name w:val="Заголовок 8 Знак"/>
    <w:basedOn w:val="876"/>
    <w:link w:val="874"/>
    <w:uiPriority w:val="9"/>
    <w:rPr>
      <w:rFonts w:ascii="Arial" w:hAnsi="Arial" w:eastAsia="Arial" w:cs="Arial"/>
      <w:i/>
      <w:iCs/>
      <w:sz w:val="22"/>
      <w:szCs w:val="22"/>
    </w:rPr>
  </w:style>
  <w:style w:type="character" w:styleId="899" w:customStyle="1">
    <w:name w:val="Заголовок 9 Знак"/>
    <w:basedOn w:val="876"/>
    <w:link w:val="875"/>
    <w:uiPriority w:val="9"/>
    <w:rPr>
      <w:rFonts w:ascii="Arial" w:hAnsi="Arial" w:eastAsia="Arial" w:cs="Arial"/>
      <w:i/>
      <w:iCs/>
      <w:sz w:val="21"/>
      <w:szCs w:val="21"/>
    </w:rPr>
  </w:style>
  <w:style w:type="paragraph" w:styleId="900">
    <w:name w:val="No Spacing"/>
    <w:uiPriority w:val="1"/>
    <w:qFormat/>
    <w:pPr>
      <w:spacing w:after="0" w:line="240" w:lineRule="auto"/>
    </w:pPr>
  </w:style>
  <w:style w:type="paragraph" w:styleId="901">
    <w:name w:val="Title"/>
    <w:basedOn w:val="866"/>
    <w:next w:val="866"/>
    <w:link w:val="90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902" w:customStyle="1">
    <w:name w:val="Заголовок Знак"/>
    <w:basedOn w:val="876"/>
    <w:link w:val="901"/>
    <w:uiPriority w:val="10"/>
    <w:rPr>
      <w:sz w:val="48"/>
      <w:szCs w:val="48"/>
    </w:rPr>
  </w:style>
  <w:style w:type="paragraph" w:styleId="903">
    <w:name w:val="Subtitle"/>
    <w:basedOn w:val="866"/>
    <w:next w:val="866"/>
    <w:link w:val="904"/>
    <w:uiPriority w:val="11"/>
    <w:qFormat/>
    <w:pPr>
      <w:spacing w:before="200" w:after="200"/>
    </w:pPr>
    <w:rPr>
      <w:sz w:val="24"/>
      <w:szCs w:val="24"/>
    </w:rPr>
  </w:style>
  <w:style w:type="character" w:styleId="904" w:customStyle="1">
    <w:name w:val="Подзаголовок Знак"/>
    <w:basedOn w:val="876"/>
    <w:link w:val="903"/>
    <w:uiPriority w:val="11"/>
    <w:rPr>
      <w:sz w:val="24"/>
      <w:szCs w:val="24"/>
    </w:rPr>
  </w:style>
  <w:style w:type="paragraph" w:styleId="905">
    <w:name w:val="Quote"/>
    <w:basedOn w:val="866"/>
    <w:next w:val="866"/>
    <w:link w:val="906"/>
    <w:uiPriority w:val="29"/>
    <w:qFormat/>
    <w:pPr>
      <w:ind w:left="720" w:right="720"/>
    </w:pPr>
    <w:rPr>
      <w:i/>
    </w:rPr>
  </w:style>
  <w:style w:type="character" w:styleId="906" w:customStyle="1">
    <w:name w:val="Цитата 2 Знак"/>
    <w:link w:val="905"/>
    <w:uiPriority w:val="29"/>
    <w:rPr>
      <w:i/>
    </w:rPr>
  </w:style>
  <w:style w:type="paragraph" w:styleId="907">
    <w:name w:val="Intense Quote"/>
    <w:basedOn w:val="866"/>
    <w:next w:val="866"/>
    <w:link w:val="9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8" w:customStyle="1">
    <w:name w:val="Выделенная цитата Знак"/>
    <w:link w:val="907"/>
    <w:uiPriority w:val="30"/>
    <w:rPr>
      <w:i/>
    </w:rPr>
  </w:style>
  <w:style w:type="character" w:styleId="909" w:customStyle="1">
    <w:name w:val="Header Char"/>
    <w:basedOn w:val="876"/>
    <w:uiPriority w:val="99"/>
  </w:style>
  <w:style w:type="character" w:styleId="910" w:customStyle="1">
    <w:name w:val="Footer Char"/>
    <w:basedOn w:val="876"/>
    <w:uiPriority w:val="99"/>
  </w:style>
  <w:style w:type="paragraph" w:styleId="911">
    <w:name w:val="Caption"/>
    <w:basedOn w:val="866"/>
    <w:next w:val="866"/>
    <w:link w:val="912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912" w:customStyle="1">
    <w:name w:val="Caption Char"/>
    <w:uiPriority w:val="99"/>
  </w:style>
  <w:style w:type="table" w:styleId="913" w:customStyle="1">
    <w:name w:val="Table Grid Light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14">
    <w:name w:val="Plain Table 1"/>
    <w:basedOn w:val="87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5">
    <w:name w:val="Plain Table 2"/>
    <w:basedOn w:val="87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6">
    <w:name w:val="Plain Table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7">
    <w:name w:val="Plain Table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Plain Table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9">
    <w:name w:val="Grid Table 1 Light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Grid Table 1 Light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Grid Table 1 Light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Grid Table 1 Light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Grid Table 1 Light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Grid Table 1 Light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Grid Table 1 Light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Grid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Grid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Grid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Grid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1" w:customStyle="1">
    <w:name w:val="Grid Table 4 - Accent 1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42" w:customStyle="1">
    <w:name w:val="Grid Table 4 - Accent 2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43" w:customStyle="1">
    <w:name w:val="Grid Table 4 - Accent 3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44" w:customStyle="1">
    <w:name w:val="Grid Table 4 - Accent 4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45" w:customStyle="1">
    <w:name w:val="Grid Table 4 - Accent 5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46" w:customStyle="1">
    <w:name w:val="Grid Table 4 - Accent 6"/>
    <w:basedOn w:val="87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47">
    <w:name w:val="Grid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8" w:customStyle="1">
    <w:name w:val="Grid Table 5 Dark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49" w:customStyle="1">
    <w:name w:val="Grid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50" w:customStyle="1">
    <w:name w:val="Grid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51" w:customStyle="1">
    <w:name w:val="Grid Table 5 Dark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52" w:customStyle="1">
    <w:name w:val="Grid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53" w:customStyle="1">
    <w:name w:val="Grid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54">
    <w:name w:val="Grid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55" w:customStyle="1">
    <w:name w:val="Grid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56" w:customStyle="1">
    <w:name w:val="Grid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57" w:customStyle="1">
    <w:name w:val="Grid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58" w:customStyle="1">
    <w:name w:val="Grid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59" w:customStyle="1">
    <w:name w:val="Grid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60" w:customStyle="1">
    <w:name w:val="Grid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61">
    <w:name w:val="Grid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Grid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Grid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Grid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Grid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Grid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Grid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1 Light - Accent 1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st Table 1 Light - Accent 2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 w:customStyle="1">
    <w:name w:val="List Table 1 Light - Accent 3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 w:customStyle="1">
    <w:name w:val="List Table 1 Light - Accent 4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 w:customStyle="1">
    <w:name w:val="List Table 1 Light - Accent 5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 w:customStyle="1">
    <w:name w:val="List Table 1 Light - Accent 6"/>
    <w:basedOn w:val="87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76" w:customStyle="1">
    <w:name w:val="List Table 2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77" w:customStyle="1">
    <w:name w:val="List Table 2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78" w:customStyle="1">
    <w:name w:val="List Table 2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79" w:customStyle="1">
    <w:name w:val="List Table 2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80" w:customStyle="1">
    <w:name w:val="List Table 2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81" w:customStyle="1">
    <w:name w:val="List Table 2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82">
    <w:name w:val="List Table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3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3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3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3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3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3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 w:customStyle="1">
    <w:name w:val="List Table 4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 w:customStyle="1">
    <w:name w:val="List Table 4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 w:customStyle="1">
    <w:name w:val="List Table 4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 w:customStyle="1">
    <w:name w:val="List Table 4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 w:customStyle="1">
    <w:name w:val="List Table 4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 w:customStyle="1">
    <w:name w:val="List Table 4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5 Dark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7" w:customStyle="1">
    <w:name w:val="List Table 5 Dark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8" w:customStyle="1">
    <w:name w:val="List Table 5 Dark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9" w:customStyle="1">
    <w:name w:val="List Table 5 Dark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0" w:customStyle="1">
    <w:name w:val="List Table 5 Dark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1" w:customStyle="1">
    <w:name w:val="List Table 5 Dark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2" w:customStyle="1">
    <w:name w:val="List Table 5 Dark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003">
    <w:name w:val="List Table 6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004" w:customStyle="1">
    <w:name w:val="List Table 6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005" w:customStyle="1">
    <w:name w:val="List Table 6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006" w:customStyle="1">
    <w:name w:val="List Table 6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007" w:customStyle="1">
    <w:name w:val="List Table 6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008" w:customStyle="1">
    <w:name w:val="List Table 6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009" w:customStyle="1">
    <w:name w:val="List Table 6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010">
    <w:name w:val="List Table 7 Colorful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1" w:customStyle="1">
    <w:name w:val="List Table 7 Colorful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2" w:customStyle="1">
    <w:name w:val="List Table 7 Colorful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3" w:customStyle="1">
    <w:name w:val="List Table 7 Colorful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4" w:customStyle="1">
    <w:name w:val="List Table 7 Colorful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5" w:customStyle="1">
    <w:name w:val="List Table 7 Colorful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6" w:customStyle="1">
    <w:name w:val="List Table 7 Colorful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7" w:customStyle="1">
    <w:name w:val="Lined - Accent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8" w:customStyle="1">
    <w:name w:val="Lined - Accent 1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19" w:customStyle="1">
    <w:name w:val="Lined - Accent 2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20" w:customStyle="1">
    <w:name w:val="Lined - Accent 3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21" w:customStyle="1">
    <w:name w:val="Lined - Accent 4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22" w:customStyle="1">
    <w:name w:val="Lined - Accent 5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23" w:customStyle="1">
    <w:name w:val="Lined - Accent 6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24" w:customStyle="1">
    <w:name w:val="Bordered &amp; Lined - Accent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25" w:customStyle="1">
    <w:name w:val="Bordered &amp; Lined - Accent 1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026" w:customStyle="1">
    <w:name w:val="Bordered &amp; Lined - Accent 2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027" w:customStyle="1">
    <w:name w:val="Bordered &amp; Lined - Accent 3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028" w:customStyle="1">
    <w:name w:val="Bordered &amp; Lined - Accent 4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029" w:customStyle="1">
    <w:name w:val="Bordered &amp; Lined - Accent 5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030" w:customStyle="1">
    <w:name w:val="Bordered &amp; Lined - Accent 6"/>
    <w:basedOn w:val="87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031" w:customStyle="1">
    <w:name w:val="Bordered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32" w:customStyle="1">
    <w:name w:val="Bordered - Accent 1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33" w:customStyle="1">
    <w:name w:val="Bordered - Accent 2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34" w:customStyle="1">
    <w:name w:val="Bordered - Accent 3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35" w:customStyle="1">
    <w:name w:val="Bordered - Accent 4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36" w:customStyle="1">
    <w:name w:val="Bordered - Accent 5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37" w:customStyle="1">
    <w:name w:val="Bordered - Accent 6"/>
    <w:basedOn w:val="87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38" w:customStyle="1">
    <w:name w:val="Footnote Text Char"/>
    <w:uiPriority w:val="99"/>
    <w:rPr>
      <w:sz w:val="18"/>
    </w:rPr>
  </w:style>
  <w:style w:type="paragraph" w:styleId="1039">
    <w:name w:val="endnote text"/>
    <w:basedOn w:val="866"/>
    <w:link w:val="1040"/>
    <w:uiPriority w:val="99"/>
    <w:semiHidden/>
    <w:unhideWhenUsed/>
    <w:pPr>
      <w:spacing w:after="0" w:line="240" w:lineRule="auto"/>
    </w:pPr>
    <w:rPr>
      <w:sz w:val="20"/>
    </w:rPr>
  </w:style>
  <w:style w:type="character" w:styleId="1040" w:customStyle="1">
    <w:name w:val="Текст концевой сноски Знак"/>
    <w:link w:val="1039"/>
    <w:uiPriority w:val="99"/>
    <w:rPr>
      <w:sz w:val="20"/>
    </w:rPr>
  </w:style>
  <w:style w:type="character" w:styleId="1041">
    <w:name w:val="endnote reference"/>
    <w:basedOn w:val="876"/>
    <w:uiPriority w:val="99"/>
    <w:semiHidden/>
    <w:unhideWhenUsed/>
    <w:rPr>
      <w:vertAlign w:val="superscript"/>
    </w:rPr>
  </w:style>
  <w:style w:type="paragraph" w:styleId="1042">
    <w:name w:val="toc 1"/>
    <w:basedOn w:val="866"/>
    <w:next w:val="866"/>
    <w:uiPriority w:val="39"/>
    <w:unhideWhenUsed/>
    <w:pPr>
      <w:spacing w:after="57"/>
    </w:pPr>
  </w:style>
  <w:style w:type="paragraph" w:styleId="1043">
    <w:name w:val="toc 2"/>
    <w:basedOn w:val="866"/>
    <w:next w:val="866"/>
    <w:uiPriority w:val="39"/>
    <w:unhideWhenUsed/>
    <w:pPr>
      <w:ind w:left="283"/>
      <w:spacing w:after="57"/>
    </w:pPr>
  </w:style>
  <w:style w:type="paragraph" w:styleId="1044">
    <w:name w:val="toc 3"/>
    <w:basedOn w:val="866"/>
    <w:next w:val="866"/>
    <w:uiPriority w:val="39"/>
    <w:unhideWhenUsed/>
    <w:pPr>
      <w:ind w:left="567"/>
      <w:spacing w:after="57"/>
    </w:pPr>
  </w:style>
  <w:style w:type="paragraph" w:styleId="1045">
    <w:name w:val="toc 4"/>
    <w:basedOn w:val="866"/>
    <w:next w:val="866"/>
    <w:uiPriority w:val="39"/>
    <w:unhideWhenUsed/>
    <w:pPr>
      <w:ind w:left="850"/>
      <w:spacing w:after="57"/>
    </w:pPr>
  </w:style>
  <w:style w:type="paragraph" w:styleId="1046">
    <w:name w:val="toc 5"/>
    <w:basedOn w:val="866"/>
    <w:next w:val="866"/>
    <w:uiPriority w:val="39"/>
    <w:unhideWhenUsed/>
    <w:pPr>
      <w:ind w:left="1134"/>
      <w:spacing w:after="57"/>
    </w:pPr>
  </w:style>
  <w:style w:type="paragraph" w:styleId="1047">
    <w:name w:val="toc 6"/>
    <w:basedOn w:val="866"/>
    <w:next w:val="866"/>
    <w:uiPriority w:val="39"/>
    <w:unhideWhenUsed/>
    <w:pPr>
      <w:ind w:left="1417"/>
      <w:spacing w:after="57"/>
    </w:pPr>
  </w:style>
  <w:style w:type="paragraph" w:styleId="1048">
    <w:name w:val="toc 7"/>
    <w:basedOn w:val="866"/>
    <w:next w:val="866"/>
    <w:uiPriority w:val="39"/>
    <w:unhideWhenUsed/>
    <w:pPr>
      <w:ind w:left="1701"/>
      <w:spacing w:after="57"/>
    </w:pPr>
  </w:style>
  <w:style w:type="paragraph" w:styleId="1049">
    <w:name w:val="toc 8"/>
    <w:basedOn w:val="866"/>
    <w:next w:val="866"/>
    <w:uiPriority w:val="39"/>
    <w:unhideWhenUsed/>
    <w:pPr>
      <w:ind w:left="1984"/>
      <w:spacing w:after="57"/>
    </w:pPr>
  </w:style>
  <w:style w:type="paragraph" w:styleId="1050">
    <w:name w:val="toc 9"/>
    <w:basedOn w:val="866"/>
    <w:next w:val="866"/>
    <w:uiPriority w:val="39"/>
    <w:unhideWhenUsed/>
    <w:pPr>
      <w:ind w:left="2268"/>
      <w:spacing w:after="57"/>
    </w:pPr>
  </w:style>
  <w:style w:type="paragraph" w:styleId="1051">
    <w:name w:val="TOC Heading"/>
    <w:uiPriority w:val="39"/>
    <w:unhideWhenUsed/>
  </w:style>
  <w:style w:type="paragraph" w:styleId="1052">
    <w:name w:val="table of figures"/>
    <w:basedOn w:val="866"/>
    <w:next w:val="866"/>
    <w:uiPriority w:val="99"/>
    <w:unhideWhenUsed/>
    <w:pPr>
      <w:spacing w:after="0"/>
    </w:pPr>
  </w:style>
  <w:style w:type="paragraph" w:styleId="1053">
    <w:name w:val="Balloon Text"/>
    <w:basedOn w:val="866"/>
    <w:link w:val="105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1054" w:customStyle="1">
    <w:name w:val="Текст выноски Знак"/>
    <w:basedOn w:val="876"/>
    <w:link w:val="1053"/>
    <w:uiPriority w:val="99"/>
    <w:semiHidden/>
    <w:rPr>
      <w:rFonts w:ascii="Segoe UI" w:hAnsi="Segoe UI" w:cs="Segoe UI"/>
      <w:sz w:val="18"/>
      <w:szCs w:val="18"/>
    </w:rPr>
  </w:style>
  <w:style w:type="paragraph" w:styleId="1055">
    <w:name w:val="Footer"/>
    <w:basedOn w:val="866"/>
    <w:link w:val="1057"/>
    <w:uiPriority w:val="99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56" w:customStyle="1">
    <w:name w:val="Нижний колонтитул Знак"/>
    <w:basedOn w:val="876"/>
    <w:uiPriority w:val="99"/>
  </w:style>
  <w:style w:type="character" w:styleId="1057" w:customStyle="1">
    <w:name w:val="Нижний колонтитул Знак1"/>
    <w:basedOn w:val="876"/>
    <w:link w:val="105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8" w:customStyle="1">
    <w:name w:val="em-абзац"/>
    <w:basedOn w:val="866"/>
    <w:link w:val="105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059" w:customStyle="1">
    <w:name w:val="em-абзац Знак"/>
    <w:basedOn w:val="876"/>
    <w:link w:val="1058"/>
    <w:rPr>
      <w:rFonts w:ascii="Times New Roman" w:hAnsi="Times New Roman" w:eastAsia="Times New Roman" w:cs="Times New Roman"/>
      <w:lang w:eastAsia="ru-RU"/>
    </w:rPr>
  </w:style>
  <w:style w:type="paragraph" w:styleId="1060">
    <w:name w:val="Header"/>
    <w:basedOn w:val="866"/>
    <w:link w:val="1061"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1" w:customStyle="1">
    <w:name w:val="Верхний колонтитул Знак"/>
    <w:basedOn w:val="876"/>
    <w:link w:val="106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62" w:customStyle="1">
    <w:name w:val="Заголовок 1 Знак"/>
    <w:basedOn w:val="876"/>
    <w:link w:val="867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1063">
    <w:name w:val="Hyperlink"/>
    <w:basedOn w:val="876"/>
    <w:uiPriority w:val="99"/>
    <w:rPr>
      <w:rFonts w:cs="Times New Roman"/>
      <w:color w:val="0000ff"/>
      <w:u w:val="single"/>
    </w:rPr>
  </w:style>
  <w:style w:type="paragraph" w:styleId="1064" w:customStyle="1">
    <w:name w:val="em-пункт"/>
    <w:basedOn w:val="866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/>
      <w:lang w:eastAsia="ru-RU"/>
    </w:rPr>
  </w:style>
  <w:style w:type="paragraph" w:styleId="1065" w:customStyle="1">
    <w:name w:val="em-подраздел"/>
    <w:basedOn w:val="866"/>
    <w:link w:val="1066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/>
      <w:lang w:eastAsia="ru-RU"/>
    </w:rPr>
  </w:style>
  <w:style w:type="character" w:styleId="1066" w:customStyle="1">
    <w:name w:val="em-подраздел Знак"/>
    <w:basedOn w:val="876"/>
    <w:link w:val="1065"/>
    <w:rPr>
      <w:rFonts w:ascii="Times New Roman" w:hAnsi="Times New Roman" w:eastAsia="Times New Roman" w:cs="Times New Roman"/>
      <w:b/>
      <w:lang w:eastAsia="ru-RU"/>
    </w:rPr>
  </w:style>
  <w:style w:type="paragraph" w:styleId="1067">
    <w:name w:val="List Paragraph"/>
    <w:basedOn w:val="866"/>
    <w:link w:val="1083"/>
    <w:uiPriority w:val="34"/>
    <w:qFormat/>
    <w:pPr>
      <w:contextualSpacing/>
      <w:ind w:left="720"/>
      <w:spacing w:after="200" w:line="276" w:lineRule="auto"/>
    </w:pPr>
    <w:rPr>
      <w:rFonts w:eastAsiaTheme="minorEastAsia"/>
      <w:lang w:val="en-US"/>
    </w:rPr>
  </w:style>
  <w:style w:type="character" w:styleId="1068" w:customStyle="1">
    <w:name w:val="__SUBST"/>
    <w:rPr>
      <w:b/>
      <w:i/>
      <w:sz w:val="22"/>
    </w:rPr>
  </w:style>
  <w:style w:type="paragraph" w:styleId="1069" w:customStyle="1">
    <w:name w:val="prilozhenie"/>
    <w:basedOn w:val="866"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70" w:customStyle="1">
    <w:name w:val="БДО информация"/>
    <w:pPr>
      <w:jc w:val="both"/>
      <w:spacing w:after="0" w:line="220" w:lineRule="exact"/>
    </w:pPr>
    <w:rPr>
      <w:rFonts w:ascii="Garamond" w:hAnsi="Garamond" w:eastAsia="Times New Roman" w:cs="Garamond"/>
      <w:lang w:eastAsia="ru-RU"/>
    </w:rPr>
  </w:style>
  <w:style w:type="paragraph" w:styleId="1071" w:customStyle="1">
    <w:name w:val="Normal Prefix"/>
    <w:link w:val="1072"/>
    <w:pPr>
      <w:spacing w:before="200" w:after="40" w:line="240" w:lineRule="auto"/>
      <w:widowControl w:val="off"/>
    </w:pPr>
    <w:rPr>
      <w:rFonts w:ascii="Times New Roman" w:hAnsi="Times New Roman" w:eastAsia="Times New Roman" w:cs="Times New Roman"/>
      <w:lang w:val="en-AU" w:eastAsia="ru-RU"/>
    </w:rPr>
  </w:style>
  <w:style w:type="character" w:styleId="1072" w:customStyle="1">
    <w:name w:val="Normal Prefix Char1"/>
    <w:link w:val="1071"/>
    <w:rPr>
      <w:rFonts w:ascii="Times New Roman" w:hAnsi="Times New Roman" w:eastAsia="Times New Roman" w:cs="Times New Roman"/>
      <w:lang w:val="en-AU" w:eastAsia="ru-RU"/>
    </w:rPr>
  </w:style>
  <w:style w:type="paragraph" w:styleId="1073" w:customStyle="1">
    <w:name w:val="RSHB - paragrah in Notes"/>
    <w:qFormat/>
    <w:pPr>
      <w:jc w:val="both"/>
      <w:spacing w:after="120" w:line="240" w:lineRule="auto"/>
    </w:pPr>
    <w:rPr>
      <w:rFonts w:ascii="Arial" w:hAnsi="Arial" w:eastAsia="Times New Roman" w:cs="Arial"/>
      <w:sz w:val="20"/>
      <w:szCs w:val="20"/>
      <w:lang w:val="en-GB" w:eastAsia="ru-RU"/>
    </w:rPr>
  </w:style>
  <w:style w:type="paragraph" w:styleId="1074" w:customStyle="1">
    <w:name w:val="ABC - paragrah in Notes"/>
    <w:link w:val="1075"/>
    <w:qFormat/>
    <w:pPr>
      <w:jc w:val="both"/>
      <w:spacing w:after="240" w:line="216" w:lineRule="auto"/>
    </w:pPr>
    <w:rPr>
      <w:rFonts w:ascii="Arial" w:hAnsi="Arial" w:eastAsia="Times New Roman" w:cs="Times New Roman"/>
      <w:sz w:val="20"/>
      <w:szCs w:val="20"/>
      <w:lang w:val="en-GB"/>
    </w:rPr>
  </w:style>
  <w:style w:type="character" w:styleId="1075" w:customStyle="1">
    <w:name w:val="ABC - paragrah in Notes Char1"/>
    <w:link w:val="1074"/>
    <w:rPr>
      <w:rFonts w:ascii="Arial" w:hAnsi="Arial" w:eastAsia="Times New Roman" w:cs="Times New Roman"/>
      <w:sz w:val="20"/>
      <w:szCs w:val="20"/>
      <w:lang w:val="en-GB"/>
    </w:rPr>
  </w:style>
  <w:style w:type="character" w:styleId="1076" w:customStyle="1">
    <w:name w:val="Font Style134"/>
    <w:rPr>
      <w:rFonts w:ascii="Arial" w:hAnsi="Arial" w:cs="Arial"/>
      <w:sz w:val="16"/>
      <w:szCs w:val="16"/>
    </w:rPr>
  </w:style>
  <w:style w:type="paragraph" w:styleId="1077" w:customStyle="1">
    <w:name w:val="Style11"/>
    <w:basedOn w:val="866"/>
    <w:pPr>
      <w:ind w:left="40" w:right="1457"/>
      <w:jc w:val="both"/>
      <w:spacing w:after="0" w:line="213" w:lineRule="exact"/>
      <w:widowControl w:val="off"/>
    </w:pPr>
    <w:rPr>
      <w:rFonts w:ascii="Arial" w:hAnsi="Arial" w:eastAsia="Times New Roman" w:cs="Times New Roman"/>
      <w:sz w:val="24"/>
      <w:szCs w:val="24"/>
      <w:lang w:eastAsia="ru-RU"/>
    </w:rPr>
  </w:style>
  <w:style w:type="paragraph" w:styleId="1078" w:customStyle="1">
    <w:name w:val="Style67"/>
    <w:basedOn w:val="866"/>
    <w:pPr>
      <w:ind w:left="40" w:right="1457" w:hanging="552"/>
      <w:jc w:val="both"/>
      <w:spacing w:after="0" w:line="226" w:lineRule="exact"/>
      <w:widowControl w:val="off"/>
    </w:pPr>
    <w:rPr>
      <w:rFonts w:ascii="Arial" w:hAnsi="Arial" w:eastAsia="Times New Roman" w:cs="Times New Roman"/>
      <w:sz w:val="24"/>
      <w:szCs w:val="24"/>
      <w:lang w:eastAsia="ru-RU"/>
    </w:rPr>
  </w:style>
  <w:style w:type="paragraph" w:styleId="1079" w:customStyle="1">
    <w:name w:val="RSHB - Bullets in Notes"/>
    <w:pPr>
      <w:ind w:right="17"/>
      <w:jc w:val="both"/>
      <w:spacing w:after="120" w:line="216" w:lineRule="auto"/>
      <w:tabs>
        <w:tab w:val="left" w:pos="851" w:leader="none"/>
      </w:tabs>
    </w:pPr>
    <w:rPr>
      <w:rFonts w:ascii="Arial" w:hAnsi="Arial" w:eastAsia="Times New Roman" w:cs="Arial"/>
      <w:sz w:val="20"/>
      <w:szCs w:val="18"/>
      <w:lang w:val="en-GB" w:eastAsia="ru-RU"/>
    </w:rPr>
  </w:style>
  <w:style w:type="character" w:styleId="1080" w:customStyle="1">
    <w:name w:val="ABC - paragrah in Notes Char"/>
    <w:rPr>
      <w:lang w:val="en-GB" w:eastAsia="en-US"/>
    </w:rPr>
  </w:style>
  <w:style w:type="paragraph" w:styleId="1081" w:customStyle="1">
    <w:name w:val="RSHB - Continued"/>
    <w:qFormat/>
    <w:pPr>
      <w:ind w:left="567" w:hanging="567"/>
      <w:jc w:val="both"/>
      <w:spacing w:after="240" w:line="240" w:lineRule="auto"/>
    </w:pPr>
    <w:rPr>
      <w:rFonts w:ascii="Arial" w:hAnsi="Arial" w:eastAsia="Times New Roman" w:cs="Arial"/>
      <w:b/>
      <w:bCs/>
      <w:sz w:val="20"/>
      <w:szCs w:val="20"/>
      <w:lang w:val="en-US" w:eastAsia="ru-RU"/>
    </w:rPr>
  </w:style>
  <w:style w:type="paragraph" w:styleId="1082" w:customStyle="1">
    <w:name w:val="Comment Subject1"/>
    <w:basedOn w:val="1085"/>
    <w:next w:val="1085"/>
    <w:semiHidden/>
    <w:pPr>
      <w:ind w:right="17"/>
      <w:spacing w:after="0" w:line="216" w:lineRule="auto"/>
    </w:pPr>
    <w:rPr>
      <w:rFonts w:ascii="Arial" w:hAnsi="Arial" w:eastAsia="Times New Roman" w:cs="Arial"/>
      <w:b/>
      <w:bCs/>
      <w:sz w:val="18"/>
      <w:szCs w:val="18"/>
      <w:lang w:val="en-GB" w:eastAsia="ru-RU"/>
    </w:rPr>
  </w:style>
  <w:style w:type="character" w:styleId="1083" w:customStyle="1">
    <w:name w:val="Абзац списка Знак"/>
    <w:link w:val="1067"/>
    <w:uiPriority w:val="34"/>
    <w:rPr>
      <w:rFonts w:eastAsiaTheme="minorEastAsia"/>
      <w:lang w:val="en-US"/>
    </w:rPr>
  </w:style>
  <w:style w:type="character" w:styleId="1084" w:customStyle="1">
    <w:name w:val="ABC - subhead in Notes"/>
    <w:rPr>
      <w:b/>
      <w:bCs/>
      <w:i/>
      <w:iCs/>
    </w:rPr>
  </w:style>
  <w:style w:type="paragraph" w:styleId="1085">
    <w:name w:val="annotation text"/>
    <w:basedOn w:val="866"/>
    <w:link w:val="1086"/>
    <w:uiPriority w:val="99"/>
    <w:unhideWhenUsed/>
    <w:pPr>
      <w:spacing w:line="240" w:lineRule="auto"/>
    </w:pPr>
    <w:rPr>
      <w:sz w:val="20"/>
      <w:szCs w:val="20"/>
    </w:rPr>
  </w:style>
  <w:style w:type="character" w:styleId="1086" w:customStyle="1">
    <w:name w:val="Текст примечания Знак"/>
    <w:basedOn w:val="876"/>
    <w:link w:val="1085"/>
    <w:uiPriority w:val="99"/>
    <w:rPr>
      <w:sz w:val="20"/>
      <w:szCs w:val="20"/>
    </w:rPr>
  </w:style>
  <w:style w:type="paragraph" w:styleId="1087" w:customStyle="1">
    <w:name w:val="Titre ABC2"/>
    <w:basedOn w:val="1095"/>
    <w:uiPriority w:val="54"/>
    <w:pPr>
      <w:ind w:left="198" w:right="17" w:hanging="198"/>
      <w:spacing w:line="220" w:lineRule="auto"/>
    </w:pPr>
    <w:rPr>
      <w:rFonts w:ascii="Arial" w:hAnsi="Arial" w:eastAsia="Times New Roman" w:cs="Arial"/>
      <w:bCs/>
      <w:sz w:val="18"/>
      <w:szCs w:val="18"/>
      <w:lang w:val="en-US" w:eastAsia="ru-RU"/>
    </w:rPr>
  </w:style>
  <w:style w:type="paragraph" w:styleId="1088" w:customStyle="1">
    <w:name w:val="Table text"/>
    <w:basedOn w:val="866"/>
    <w:pPr>
      <w:ind w:left="85" w:right="17" w:hanging="85"/>
      <w:spacing w:after="0" w:line="216" w:lineRule="auto"/>
    </w:pPr>
    <w:rPr>
      <w:rFonts w:ascii="Arial" w:hAnsi="Arial" w:eastAsia="Times New Roman" w:cs="Arial"/>
      <w:sz w:val="18"/>
      <w:szCs w:val="18"/>
      <w:lang w:val="en-GB" w:eastAsia="ru-RU"/>
    </w:rPr>
  </w:style>
  <w:style w:type="paragraph" w:styleId="1089" w:customStyle="1">
    <w:name w:val="Row header"/>
    <w:basedOn w:val="866"/>
    <w:pPr>
      <w:ind w:left="85" w:right="17" w:hanging="85"/>
      <w:spacing w:after="0" w:line="216" w:lineRule="auto"/>
    </w:pPr>
    <w:rPr>
      <w:rFonts w:ascii="Arial" w:hAnsi="Arial" w:eastAsia="Times New Roman" w:cs="Arial"/>
      <w:b/>
      <w:sz w:val="18"/>
      <w:szCs w:val="18"/>
      <w:lang w:val="en-GB" w:eastAsia="ru-RU"/>
    </w:rPr>
  </w:style>
  <w:style w:type="paragraph" w:styleId="1090" w:customStyle="1">
    <w:name w:val="Column header"/>
    <w:basedOn w:val="866"/>
    <w:uiPriority w:val="6"/>
    <w:pPr>
      <w:ind w:right="-56"/>
      <w:spacing w:after="0" w:line="228" w:lineRule="auto"/>
      <w:tabs>
        <w:tab w:val="decimal" w:pos="1503" w:leader="none"/>
      </w:tabs>
    </w:pPr>
    <w:rPr>
      <w:rFonts w:ascii="Arial" w:hAnsi="Arial" w:eastAsia="Times New Roman" w:cs="Arial"/>
      <w:b/>
      <w:sz w:val="18"/>
      <w:szCs w:val="18"/>
      <w:lang w:val="en-GB" w:eastAsia="ru-RU"/>
    </w:rPr>
  </w:style>
  <w:style w:type="paragraph" w:styleId="1091" w:customStyle="1">
    <w:name w:val="Table numbers1"/>
    <w:link w:val="1092"/>
    <w:pPr>
      <w:ind w:right="-56"/>
      <w:spacing w:after="0" w:line="216" w:lineRule="auto"/>
      <w:tabs>
        <w:tab w:val="decimal" w:pos="1503" w:leader="none"/>
      </w:tabs>
    </w:pPr>
    <w:rPr>
      <w:rFonts w:ascii="Arial" w:hAnsi="Arial" w:eastAsia="Times New Roman" w:cs="Times New Roman"/>
      <w:sz w:val="18"/>
      <w:szCs w:val="20"/>
      <w:lang w:val="en-GB"/>
    </w:rPr>
  </w:style>
  <w:style w:type="character" w:styleId="1092" w:customStyle="1">
    <w:name w:val="Table numbers1 Char"/>
    <w:link w:val="1091"/>
    <w:rPr>
      <w:rFonts w:ascii="Arial" w:hAnsi="Arial" w:eastAsia="Times New Roman" w:cs="Times New Roman"/>
      <w:sz w:val="18"/>
      <w:szCs w:val="20"/>
      <w:lang w:val="en-GB"/>
    </w:rPr>
  </w:style>
  <w:style w:type="paragraph" w:styleId="1093" w:customStyle="1">
    <w:name w:val="Char Char"/>
    <w:uiPriority w:val="7"/>
    <w:pPr>
      <w:jc w:val="both"/>
      <w:spacing w:after="240" w:line="216" w:lineRule="auto"/>
    </w:pPr>
    <w:rPr>
      <w:rFonts w:ascii="Arial" w:hAnsi="Arial" w:eastAsia="Times New Roman" w:cs="Arial"/>
      <w:sz w:val="20"/>
      <w:szCs w:val="20"/>
      <w:lang w:val="en-GB" w:eastAsia="ru-RU"/>
    </w:rPr>
  </w:style>
  <w:style w:type="paragraph" w:styleId="1094" w:customStyle="1">
    <w:name w:val="RSHB - Table numbers"/>
    <w:qFormat/>
    <w:pPr>
      <w:ind w:right="-56"/>
      <w:spacing w:after="0" w:line="216" w:lineRule="auto"/>
      <w:tabs>
        <w:tab w:val="decimal" w:pos="1503" w:leader="none"/>
      </w:tabs>
    </w:pPr>
    <w:rPr>
      <w:rFonts w:ascii="Arial" w:hAnsi="Arial" w:eastAsia="Times New Roman" w:cs="Times New Roman"/>
      <w:sz w:val="18"/>
      <w:szCs w:val="20"/>
      <w:lang w:val="en-GB"/>
    </w:rPr>
  </w:style>
  <w:style w:type="paragraph" w:styleId="1095">
    <w:name w:val="index 2"/>
    <w:basedOn w:val="866"/>
    <w:next w:val="866"/>
    <w:uiPriority w:val="99"/>
    <w:semiHidden/>
    <w:unhideWhenUsed/>
    <w:pPr>
      <w:ind w:left="440" w:hanging="220"/>
      <w:spacing w:after="0" w:line="240" w:lineRule="auto"/>
    </w:pPr>
  </w:style>
  <w:style w:type="paragraph" w:styleId="1096">
    <w:name w:val="Body Text"/>
    <w:basedOn w:val="866"/>
    <w:link w:val="1097"/>
    <w:pPr>
      <w:ind w:right="1"/>
      <w:jc w:val="both"/>
      <w:spacing w:after="0" w:line="216" w:lineRule="auto"/>
      <w:widowControl w:val="off"/>
      <w:suppressLineNumbers/>
    </w:pPr>
    <w:rPr>
      <w:rFonts w:ascii="Arial" w:hAnsi="Arial" w:eastAsia="Times New Roman" w:cs="Arial"/>
      <w:sz w:val="18"/>
      <w:szCs w:val="18"/>
      <w:lang w:val="en-GB" w:eastAsia="ru-RU"/>
    </w:rPr>
  </w:style>
  <w:style w:type="character" w:styleId="1097" w:customStyle="1">
    <w:name w:val="Основной текст Знак"/>
    <w:basedOn w:val="876"/>
    <w:link w:val="1096"/>
    <w:rPr>
      <w:rFonts w:ascii="Arial" w:hAnsi="Arial" w:eastAsia="Times New Roman" w:cs="Arial"/>
      <w:sz w:val="18"/>
      <w:szCs w:val="18"/>
      <w:lang w:val="en-GB" w:eastAsia="ru-RU"/>
    </w:rPr>
  </w:style>
  <w:style w:type="paragraph" w:styleId="1098" w:customStyle="1">
    <w:name w:val="RR thousands"/>
    <w:basedOn w:val="866"/>
    <w:link w:val="1099"/>
    <w:pPr>
      <w:ind w:left="86" w:right="17" w:hanging="86"/>
      <w:spacing w:after="0" w:line="216" w:lineRule="auto"/>
    </w:pPr>
    <w:rPr>
      <w:rFonts w:ascii="Arial" w:hAnsi="Arial" w:eastAsia="Times New Roman" w:cs="Arial"/>
      <w:i/>
      <w:iCs/>
      <w:sz w:val="16"/>
      <w:szCs w:val="16"/>
      <w:lang w:val="en-GB" w:eastAsia="ru-RU"/>
    </w:rPr>
  </w:style>
  <w:style w:type="character" w:styleId="1099" w:customStyle="1">
    <w:name w:val="RR thousands Char"/>
    <w:link w:val="1098"/>
    <w:rPr>
      <w:rFonts w:ascii="Arial" w:hAnsi="Arial" w:eastAsia="Times New Roman" w:cs="Arial"/>
      <w:i/>
      <w:iCs/>
      <w:sz w:val="16"/>
      <w:szCs w:val="16"/>
      <w:lang w:val="en-GB" w:eastAsia="ru-RU"/>
    </w:rPr>
  </w:style>
  <w:style w:type="paragraph" w:styleId="1100" w:customStyle="1">
    <w:name w:val="Style15"/>
    <w:basedOn w:val="866"/>
    <w:uiPriority w:val="54"/>
    <w:pPr>
      <w:ind w:right="17"/>
      <w:spacing w:after="0" w:line="216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1101" w:customStyle="1">
    <w:name w:val="Style17"/>
    <w:basedOn w:val="866"/>
    <w:uiPriority w:val="54"/>
    <w:pPr>
      <w:ind w:right="17"/>
      <w:spacing w:after="0" w:line="197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1102" w:customStyle="1">
    <w:name w:val="Style24"/>
    <w:basedOn w:val="866"/>
    <w:uiPriority w:val="54"/>
    <w:pPr>
      <w:ind w:right="17"/>
      <w:jc w:val="right"/>
      <w:spacing w:after="0" w:line="216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1103" w:customStyle="1">
    <w:name w:val="Style41"/>
    <w:basedOn w:val="866"/>
    <w:uiPriority w:val="54"/>
    <w:pPr>
      <w:ind w:right="17" w:hanging="120"/>
      <w:spacing w:after="0" w:line="216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paragraph" w:styleId="1104" w:customStyle="1">
    <w:name w:val="RSHB - Column header"/>
    <w:basedOn w:val="866"/>
    <w:qFormat/>
    <w:pPr>
      <w:jc w:val="right"/>
      <w:spacing w:after="0" w:line="228" w:lineRule="auto"/>
      <w:tabs>
        <w:tab w:val="decimal" w:pos="1503" w:leader="none"/>
      </w:tabs>
    </w:pPr>
    <w:rPr>
      <w:rFonts w:ascii="Arial" w:hAnsi="Arial" w:eastAsia="Times New Roman" w:cs="Times New Roman"/>
      <w:b/>
      <w:sz w:val="18"/>
      <w:szCs w:val="20"/>
      <w:lang w:val="en-GB"/>
    </w:rPr>
  </w:style>
  <w:style w:type="character" w:styleId="1105" w:customStyle="1">
    <w:name w:val="Заголовок 5 Знак"/>
    <w:basedOn w:val="876"/>
    <w:link w:val="871"/>
    <w:uiPriority w:val="9"/>
    <w:semiHidden/>
    <w:rPr>
      <w:rFonts w:asciiTheme="majorHAnsi" w:hAnsiTheme="majorHAnsi" w:eastAsiaTheme="majorEastAsia" w:cstheme="majorBidi"/>
      <w:color w:val="2e74b5" w:themeColor="accent1" w:themeShade="BF"/>
    </w:rPr>
  </w:style>
  <w:style w:type="paragraph" w:styleId="1106" w:customStyle="1">
    <w:name w:val="ConsPlusNormal"/>
    <w:pPr>
      <w:spacing w:after="0" w:line="240" w:lineRule="auto"/>
    </w:pPr>
    <w:rPr>
      <w:rFonts w:ascii="Times New Roman" w:hAnsi="Times New Roman" w:eastAsia="Calibri" w:cs="Times New Roman"/>
      <w:lang w:eastAsia="ru-RU"/>
    </w:rPr>
  </w:style>
  <w:style w:type="table" w:styleId="1107">
    <w:name w:val="Table Grid"/>
    <w:basedOn w:val="87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108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109">
    <w:name w:val="Body Text Indent"/>
    <w:basedOn w:val="866"/>
    <w:link w:val="1110"/>
    <w:uiPriority w:val="99"/>
    <w:semiHidden/>
    <w:unhideWhenUsed/>
    <w:pPr>
      <w:ind w:left="283"/>
      <w:spacing w:after="120"/>
    </w:pPr>
  </w:style>
  <w:style w:type="character" w:styleId="1110" w:customStyle="1">
    <w:name w:val="Основной текст с отступом Знак"/>
    <w:basedOn w:val="876"/>
    <w:link w:val="1109"/>
    <w:uiPriority w:val="99"/>
    <w:semiHidden/>
  </w:style>
  <w:style w:type="character" w:styleId="1111">
    <w:name w:val="annotation reference"/>
    <w:uiPriority w:val="99"/>
    <w:semiHidden/>
    <w:unhideWhenUsed/>
    <w:rPr>
      <w:sz w:val="16"/>
      <w:szCs w:val="16"/>
    </w:rPr>
  </w:style>
  <w:style w:type="paragraph" w:styleId="1112" w:customStyle="1">
    <w:name w:val="Reports Cover 4"/>
    <w:basedOn w:val="866"/>
    <w:pPr>
      <w:ind w:left="79" w:right="-23"/>
      <w:jc w:val="both"/>
      <w:spacing w:after="0" w:line="400" w:lineRule="exact"/>
      <w:widowControl w:val="off"/>
      <w:tabs>
        <w:tab w:val="left" w:pos="620" w:leader="none"/>
      </w:tabs>
      <w:framePr w:wrap="auto" w:vAnchor="page" w:hAnchor="margin" w:y="2361"/>
    </w:pPr>
    <w:rPr>
      <w:rFonts w:ascii="Times New Roman" w:hAnsi="Times New Roman" w:eastAsia="Times New Roman" w:cs="Times New Roman"/>
      <w:sz w:val="36"/>
      <w:szCs w:val="20"/>
      <w:lang w:val="en-US"/>
    </w:rPr>
  </w:style>
  <w:style w:type="paragraph" w:styleId="1113">
    <w:name w:val="annotation subject"/>
    <w:basedOn w:val="1085"/>
    <w:next w:val="1085"/>
    <w:link w:val="1114"/>
    <w:uiPriority w:val="99"/>
    <w:semiHidden/>
    <w:unhideWhenUsed/>
    <w:rPr>
      <w:b/>
      <w:bCs/>
    </w:rPr>
  </w:style>
  <w:style w:type="character" w:styleId="1114" w:customStyle="1">
    <w:name w:val="Тема примечания Знак"/>
    <w:basedOn w:val="1086"/>
    <w:link w:val="1113"/>
    <w:uiPriority w:val="99"/>
    <w:semiHidden/>
    <w:rPr>
      <w:b/>
      <w:bCs/>
      <w:sz w:val="20"/>
      <w:szCs w:val="20"/>
    </w:rPr>
  </w:style>
  <w:style w:type="paragraph" w:styleId="1115" w:customStyle="1">
    <w:name w:val="Абзац списка2"/>
    <w:basedOn w:val="866"/>
    <w:qFormat/>
    <w:pPr>
      <w:contextualSpacing/>
      <w:ind w:left="720"/>
      <w:spacing w:after="0" w:line="240" w:lineRule="auto"/>
    </w:pPr>
    <w:rPr>
      <w:rFonts w:ascii="Times New Roman" w:hAnsi="Times New Roman" w:eastAsia="Arial" w:cs="Times New Roman"/>
      <w:sz w:val="24"/>
      <w:szCs w:val="24"/>
      <w:lang w:eastAsia="ru-RU"/>
    </w:rPr>
  </w:style>
  <w:style w:type="paragraph" w:styleId="1116">
    <w:name w:val="footnote text"/>
    <w:basedOn w:val="866"/>
    <w:link w:val="1117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1117" w:customStyle="1">
    <w:name w:val="Текст сноски Знак"/>
    <w:basedOn w:val="876"/>
    <w:link w:val="1116"/>
    <w:uiPriority w:val="99"/>
    <w:rPr>
      <w:sz w:val="20"/>
      <w:szCs w:val="20"/>
    </w:rPr>
  </w:style>
  <w:style w:type="character" w:styleId="1118">
    <w:name w:val="footnote reference"/>
    <w:basedOn w:val="876"/>
    <w:uiPriority w:val="99"/>
    <w:unhideWhenUsed/>
    <w:qFormat/>
    <w:rPr>
      <w:vertAlign w:val="superscript"/>
    </w:rPr>
  </w:style>
  <w:style w:type="character" w:styleId="1119" w:customStyle="1">
    <w:name w:val="Гипертекстовая ссылка"/>
    <w:basedOn w:val="876"/>
    <w:uiPriority w:val="99"/>
    <w:rPr>
      <w:color w:val="106bbe"/>
    </w:rPr>
  </w:style>
  <w:style w:type="paragraph" w:styleId="1120" w:customStyle="1">
    <w:name w:val="Нормальный (таблица)"/>
    <w:basedOn w:val="866"/>
    <w:next w:val="866"/>
    <w:uiPriority w:val="99"/>
    <w:pPr>
      <w:jc w:val="both"/>
      <w:spacing w:after="0" w:line="240" w:lineRule="auto"/>
    </w:pPr>
    <w:rPr>
      <w:rFonts w:ascii="Arial" w:hAnsi="Arial" w:cs="Arial"/>
      <w:sz w:val="24"/>
      <w:szCs w:val="24"/>
    </w:rPr>
  </w:style>
  <w:style w:type="paragraph" w:styleId="1121" w:customStyle="1">
    <w:name w:val="Прижатый влево"/>
    <w:basedOn w:val="866"/>
    <w:next w:val="866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styleId="1122" w:customStyle="1">
    <w:name w:val="hps"/>
    <w:basedOn w:val="876"/>
  </w:style>
  <w:style w:type="paragraph" w:styleId="1123" w:customStyle="1">
    <w:name w:val="ConsNormal"/>
    <w:link w:val="1124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character" w:styleId="1124" w:customStyle="1">
    <w:name w:val="ConsNormal Char"/>
    <w:link w:val="1123"/>
    <w:rPr>
      <w:rFonts w:ascii="Arial" w:hAnsi="Arial" w:eastAsia="Times New Roman" w:cs="Arial"/>
      <w:sz w:val="24"/>
      <w:szCs w:val="24"/>
      <w:lang w:eastAsia="ru-RU"/>
    </w:rPr>
  </w:style>
  <w:style w:type="paragraph" w:styleId="1125">
    <w:name w:val="Normal (Web)"/>
    <w:basedOn w:val="86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26">
    <w:name w:val="Strong"/>
    <w:qFormat/>
    <w:rPr>
      <w:rFonts w:cs="Times New Roman"/>
      <w:b/>
      <w:bCs/>
    </w:rPr>
  </w:style>
  <w:style w:type="paragraph" w:styleId="1127" w:customStyle="1">
    <w:name w:val="ConsNonformat"/>
    <w:pPr>
      <w:spacing w:after="0" w:line="240" w:lineRule="auto"/>
      <w:widowControl w:val="off"/>
    </w:pPr>
    <w:rPr>
      <w:rFonts w:ascii="Courier New" w:hAnsi="Courier New" w:eastAsia="Times New Roman" w:cs="Times New Roman"/>
      <w:sz w:val="16"/>
      <w:szCs w:val="20"/>
      <w:lang w:eastAsia="ru-RU"/>
    </w:rPr>
  </w:style>
  <w:style w:type="table" w:styleId="1128" w:customStyle="1">
    <w:name w:val="Сетка таблицы светлая1"/>
    <w:basedOn w:val="877"/>
    <w:uiPriority w:val="40"/>
    <w:pPr>
      <w:spacing w:after="0" w:line="240" w:lineRule="auto"/>
    </w:pPr>
    <w:rPr>
      <w:rFonts w:ascii="Calibri" w:hAnsi="Calibri" w:eastAsia="Calibri" w:cs="Times New Roman"/>
      <w:sz w:val="20"/>
      <w:szCs w:val="20"/>
      <w:lang w:val="en-US"/>
    </w:r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1129">
    <w:name w:val="Revision"/>
    <w:hidden/>
    <w:uiPriority w:val="99"/>
    <w:semiHidden/>
    <w:pPr>
      <w:spacing w:after="0" w:line="240" w:lineRule="auto"/>
    </w:pPr>
  </w:style>
  <w:style w:type="character" w:styleId="1130">
    <w:name w:val="Emphasis"/>
    <w:basedOn w:val="876"/>
    <w:uiPriority w:val="20"/>
    <w:qFormat/>
    <w:rPr>
      <w:i/>
      <w:iCs/>
    </w:rPr>
  </w:style>
  <w:style w:type="character" w:styleId="1131" w:customStyle="1">
    <w:name w:val="Символ сноски"/>
    <w:uiPriority w:val="99"/>
    <w:qFormat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://www.e-disclosure.ru/portal/company.aspx?id=3207" TargetMode="External"/><Relationship Id="rId12" Type="http://schemas.openxmlformats.org/officeDocument/2006/relationships/hyperlink" Target="http://www.consultant.ru/document/cons_doc_LAW_154017/" TargetMode="External"/><Relationship Id="rId13" Type="http://schemas.openxmlformats.org/officeDocument/2006/relationships/hyperlink" Target="consultantplus://offline/ref=9AEDFF8C039E75E3A7B5597AC488A1B40066042602BCD306C6C282F52CB5F75EFD3A0BF9C666364553D38E8EF3TDC6J" TargetMode="External"/><Relationship Id="rId14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15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16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17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18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19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0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1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2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3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4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5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6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7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8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29" Type="http://schemas.openxmlformats.org/officeDocument/2006/relationships/hyperlink" Target="consultantplus://offline/ref=51B876EA2E283A6B860B3B9DADA4B3285A689A61E08D1A0C678F896105A579876ACC75930475CE83E8F2446DEEADB63A2165057C3ANDwAO" TargetMode="External"/><Relationship Id="rId30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1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2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3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4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5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6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7" Type="http://schemas.openxmlformats.org/officeDocument/2006/relationships/hyperlink" Target="consultantplus://offline/ref=98C20B2F23BA14A1FE4E5A380726BC0B8085172604ADD958991E7860CCB8C631B84F296BE8CF14CF2D5B1814E9FA119740BF9C57C05D7DJ" TargetMode="External"/><Relationship Id="rId38" Type="http://schemas.openxmlformats.org/officeDocument/2006/relationships/hyperlink" Target="https://www.e-disclosure.ru/portal/files.aspx?id=3207&amp;type=4" TargetMode="External"/><Relationship Id="rId39" Type="http://schemas.openxmlformats.org/officeDocument/2006/relationships/hyperlink" Target="https://www.rshb.ru/investors/msfo/" TargetMode="External"/><Relationship Id="rId40" Type="http://schemas.openxmlformats.org/officeDocument/2006/relationships/hyperlink" Target="https://www.e-disclosure.ru/portal/files.aspx?id=3207&amp;type=4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40AED-EF2D-4B3F-B9BE-0D4D1DD68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Россельхозбанк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Завиткова Юлия Евгеньевна</dc:creator>
  <cp:lastModifiedBy>prohorova-yue</cp:lastModifiedBy>
  <cp:revision>23</cp:revision>
  <dcterms:created xsi:type="dcterms:W3CDTF">2026-04-01T11:00:00Z</dcterms:created>
  <dcterms:modified xsi:type="dcterms:W3CDTF">2026-04-22T08:05:08Z</dcterms:modified>
</cp:coreProperties>
</file>